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0A096" w14:textId="60E0F6F6" w:rsidR="00080574" w:rsidRPr="002C42F7" w:rsidRDefault="410E8451" w:rsidP="00DF6B0F">
      <w:pPr>
        <w:pStyle w:val="Heading1"/>
        <w:keepNext w:val="0"/>
        <w:keepLines w:val="0"/>
        <w:spacing w:before="0" w:after="0" w:line="240" w:lineRule="auto"/>
        <w:jc w:val="both"/>
        <w:rPr>
          <w:rFonts w:ascii="Verdana" w:eastAsia="Calibri" w:hAnsi="Verdana" w:cs="Calibri"/>
          <w:b/>
          <w:bCs/>
          <w:color w:val="auto"/>
          <w:sz w:val="22"/>
          <w:szCs w:val="22"/>
          <w:lang w:val="et-EE"/>
        </w:rPr>
      </w:pPr>
      <w:r w:rsidRPr="002C42F7">
        <w:rPr>
          <w:rFonts w:ascii="Verdana" w:eastAsia="Calibri" w:hAnsi="Verdana" w:cs="Calibri"/>
          <w:b/>
          <w:bCs/>
          <w:color w:val="auto"/>
          <w:sz w:val="22"/>
          <w:szCs w:val="22"/>
          <w:lang w:val="et-EE"/>
        </w:rPr>
        <w:t xml:space="preserve">Juhtumianalüüs 1 </w:t>
      </w:r>
      <w:r w:rsidR="005835B3">
        <w:rPr>
          <w:rFonts w:ascii="Verdana" w:eastAsia="Calibri" w:hAnsi="Verdana" w:cs="Calibri"/>
          <w:b/>
          <w:bCs/>
          <w:color w:val="auto"/>
          <w:sz w:val="22"/>
          <w:szCs w:val="22"/>
          <w:lang w:val="et-EE"/>
        </w:rPr>
        <w:t xml:space="preserve">- </w:t>
      </w:r>
      <w:r w:rsidRPr="002C42F7">
        <w:rPr>
          <w:rFonts w:ascii="Verdana" w:eastAsia="Calibri" w:hAnsi="Verdana" w:cs="Calibri"/>
          <w:b/>
          <w:bCs/>
          <w:color w:val="auto"/>
          <w:sz w:val="22"/>
          <w:szCs w:val="22"/>
          <w:lang w:val="et-EE"/>
        </w:rPr>
        <w:t>Riskide juhtimine ja rohetasuvuse strateegia Balti sadamates</w:t>
      </w:r>
    </w:p>
    <w:p w14:paraId="76E4FCFC" w14:textId="17478C56" w:rsidR="00080574" w:rsidRPr="002C42F7" w:rsidRDefault="00080574" w:rsidP="00DF6B0F">
      <w:pPr>
        <w:spacing w:line="240" w:lineRule="auto"/>
        <w:jc w:val="both"/>
        <w:rPr>
          <w:rFonts w:ascii="Verdana" w:hAnsi="Verdana"/>
          <w:sz w:val="22"/>
          <w:szCs w:val="22"/>
          <w:lang w:val="et-EE"/>
        </w:rPr>
      </w:pPr>
    </w:p>
    <w:p w14:paraId="2A9A5E0C" w14:textId="71D12C85" w:rsidR="00080574" w:rsidRPr="002C42F7" w:rsidRDefault="410E8451" w:rsidP="00DF6B0F">
      <w:pPr>
        <w:pStyle w:val="Heading3"/>
        <w:keepNext w:val="0"/>
        <w:keepLines w:val="0"/>
        <w:spacing w:before="0" w:after="0" w:line="240" w:lineRule="auto"/>
        <w:jc w:val="both"/>
        <w:rPr>
          <w:rFonts w:ascii="Verdana" w:eastAsia="Calibri" w:hAnsi="Verdana" w:cs="Calibri"/>
          <w:b/>
          <w:bCs/>
          <w:color w:val="auto"/>
          <w:sz w:val="22"/>
          <w:szCs w:val="22"/>
          <w:lang w:val="et-EE"/>
        </w:rPr>
      </w:pPr>
      <w:r w:rsidRPr="002C42F7">
        <w:rPr>
          <w:rFonts w:ascii="Verdana" w:eastAsia="Calibri" w:hAnsi="Verdana" w:cs="Calibri"/>
          <w:b/>
          <w:bCs/>
          <w:color w:val="auto"/>
          <w:sz w:val="22"/>
          <w:szCs w:val="22"/>
          <w:lang w:val="et-EE"/>
        </w:rPr>
        <w:t>Õpiväljundid</w:t>
      </w:r>
    </w:p>
    <w:p w14:paraId="409FBB3A" w14:textId="4446D9CE" w:rsidR="00080574" w:rsidRPr="002C42F7" w:rsidRDefault="410E8451" w:rsidP="00DF6B0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2C42F7">
        <w:rPr>
          <w:rFonts w:ascii="Verdana" w:eastAsia="Calibri" w:hAnsi="Verdana" w:cs="Calibri"/>
          <w:sz w:val="22"/>
          <w:szCs w:val="22"/>
          <w:lang w:val="et-EE"/>
        </w:rPr>
        <w:t>Õppija analüüsib ja hindab rohetasuvusega seotud riske (finants-, regulatiivsed, maine- ja tarneahela riskid) sadamate väärtusahela kontekstis ning seob need riskijuhtimise strateegiatega.</w:t>
      </w:r>
    </w:p>
    <w:p w14:paraId="2B2B6233" w14:textId="0ECC220E" w:rsidR="00080574" w:rsidRPr="002C42F7" w:rsidRDefault="410E8451" w:rsidP="00DF6B0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2C42F7">
        <w:rPr>
          <w:rFonts w:ascii="Verdana" w:eastAsia="Calibri" w:hAnsi="Verdana" w:cs="Calibri"/>
          <w:sz w:val="22"/>
          <w:szCs w:val="22"/>
          <w:lang w:val="et-EE"/>
        </w:rPr>
        <w:t>Õppija võrdleb erinevaid rohetehnoloogilisi lahendusi sadamates ning hindab nende strateegilist ja majanduslikku mõju sadama konkurentsipositsioonile.</w:t>
      </w:r>
    </w:p>
    <w:p w14:paraId="4C508E04" w14:textId="2C45AD7D" w:rsidR="00080574" w:rsidRPr="002C42F7" w:rsidRDefault="410E8451" w:rsidP="00DF6B0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2C42F7">
        <w:rPr>
          <w:rFonts w:ascii="Verdana" w:eastAsia="Calibri" w:hAnsi="Verdana" w:cs="Calibri"/>
          <w:sz w:val="22"/>
          <w:szCs w:val="22"/>
          <w:lang w:val="et-EE"/>
        </w:rPr>
        <w:t>Õppija kujundab stsenaariumipõhiseid soovitusi, kuidas vähendada riskipositsiooni ja samal ajal suurendada rohetasuvust ning väärtusahela tõhusust.</w:t>
      </w:r>
    </w:p>
    <w:p w14:paraId="1B4E76E1" w14:textId="3F88FAC2" w:rsidR="00080574" w:rsidRPr="002C42F7" w:rsidRDefault="00080574" w:rsidP="00DF6B0F">
      <w:pPr>
        <w:spacing w:after="0" w:line="240" w:lineRule="auto"/>
        <w:jc w:val="both"/>
        <w:rPr>
          <w:rFonts w:ascii="Verdana" w:eastAsia="Calibri" w:hAnsi="Verdana" w:cs="Calibri"/>
          <w:b/>
          <w:bCs/>
          <w:sz w:val="22"/>
          <w:szCs w:val="22"/>
          <w:lang w:val="et-EE"/>
        </w:rPr>
      </w:pPr>
    </w:p>
    <w:p w14:paraId="604196CF" w14:textId="61E04C00" w:rsidR="00080574" w:rsidRPr="002C42F7" w:rsidRDefault="5A76076C" w:rsidP="00DF6B0F">
      <w:p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2C42F7">
        <w:rPr>
          <w:rFonts w:ascii="Verdana" w:eastAsia="Calibri" w:hAnsi="Verdana" w:cs="Calibri"/>
          <w:b/>
          <w:bCs/>
          <w:sz w:val="22"/>
          <w:szCs w:val="22"/>
          <w:lang w:val="et-EE"/>
        </w:rPr>
        <w:t>Taust:</w:t>
      </w:r>
      <w:r w:rsidR="00212BF8" w:rsidRPr="002C42F7">
        <w:rPr>
          <w:rFonts w:ascii="Verdana" w:hAnsi="Verdana"/>
          <w:sz w:val="22"/>
          <w:szCs w:val="22"/>
          <w:lang w:val="et-EE"/>
        </w:rPr>
        <w:br/>
      </w:r>
      <w:r w:rsidRPr="002C42F7">
        <w:rPr>
          <w:rFonts w:ascii="Verdana" w:eastAsia="Calibri" w:hAnsi="Verdana" w:cs="Calibri"/>
          <w:sz w:val="22"/>
          <w:szCs w:val="22"/>
          <w:lang w:val="et-EE"/>
        </w:rPr>
        <w:t>Balti regiooni suur kaubasadam seisab silmitsi kasvavate keskkonnanõuetega. Euroopa Liidu „</w:t>
      </w:r>
      <w:proofErr w:type="spellStart"/>
      <w:r w:rsidRPr="002C42F7">
        <w:rPr>
          <w:rFonts w:ascii="Verdana" w:eastAsia="Calibri" w:hAnsi="Verdana" w:cs="Calibri"/>
          <w:sz w:val="22"/>
          <w:szCs w:val="22"/>
          <w:lang w:val="et-EE"/>
        </w:rPr>
        <w:t>Fit</w:t>
      </w:r>
      <w:proofErr w:type="spellEnd"/>
      <w:r w:rsidRPr="002C42F7">
        <w:rPr>
          <w:rFonts w:ascii="Verdana" w:eastAsia="Calibri" w:hAnsi="Verdana" w:cs="Calibri"/>
          <w:sz w:val="22"/>
          <w:szCs w:val="22"/>
          <w:lang w:val="et-EE"/>
        </w:rPr>
        <w:t xml:space="preserve"> </w:t>
      </w:r>
      <w:proofErr w:type="spellStart"/>
      <w:r w:rsidRPr="002C42F7">
        <w:rPr>
          <w:rFonts w:ascii="Verdana" w:eastAsia="Calibri" w:hAnsi="Verdana" w:cs="Calibri"/>
          <w:sz w:val="22"/>
          <w:szCs w:val="22"/>
          <w:lang w:val="et-EE"/>
        </w:rPr>
        <w:t>for</w:t>
      </w:r>
      <w:proofErr w:type="spellEnd"/>
      <w:r w:rsidRPr="002C42F7">
        <w:rPr>
          <w:rFonts w:ascii="Verdana" w:eastAsia="Calibri" w:hAnsi="Verdana" w:cs="Calibri"/>
          <w:sz w:val="22"/>
          <w:szCs w:val="22"/>
          <w:lang w:val="et-EE"/>
        </w:rPr>
        <w:t xml:space="preserve"> 55” ja TEN-T poliitika raamistikus tuleb vähendada CO₂ emissioone, investeerida elektrifitseerimisse (sh kaldavoolu taristu) ning võtta kasutusele digitaalne jälgimissüsteem laevade ja kaubavoogude optimeerimiseks.</w:t>
      </w:r>
    </w:p>
    <w:p w14:paraId="59BE4122" w14:textId="59D59E4E" w:rsidR="00080574" w:rsidRPr="002C42F7" w:rsidRDefault="5A76076C" w:rsidP="00DF6B0F">
      <w:p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2C42F7">
        <w:rPr>
          <w:rFonts w:ascii="Verdana" w:eastAsia="Calibri" w:hAnsi="Verdana" w:cs="Calibri"/>
          <w:sz w:val="22"/>
          <w:szCs w:val="22"/>
          <w:lang w:val="et-EE"/>
        </w:rPr>
        <w:t>Ettevõttel on risk, et:</w:t>
      </w:r>
    </w:p>
    <w:p w14:paraId="7D250BC1" w14:textId="240C7B18" w:rsidR="00080574" w:rsidRPr="002C42F7" w:rsidRDefault="5A76076C" w:rsidP="00DF6B0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2C42F7">
        <w:rPr>
          <w:rFonts w:ascii="Verdana" w:eastAsia="Calibri" w:hAnsi="Verdana" w:cs="Calibri"/>
          <w:sz w:val="22"/>
          <w:szCs w:val="22"/>
          <w:lang w:val="et-EE"/>
        </w:rPr>
        <w:t>Regulatiivsed nõuded (CO₂ aruandlus, ETS laienemine merendusele) suurendavad tegevuskulusid.</w:t>
      </w:r>
    </w:p>
    <w:p w14:paraId="70B7330A" w14:textId="33CE1F4A" w:rsidR="00080574" w:rsidRPr="002C42F7" w:rsidRDefault="5A76076C" w:rsidP="00DF6B0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2C42F7">
        <w:rPr>
          <w:rFonts w:ascii="Verdana" w:eastAsia="Calibri" w:hAnsi="Verdana" w:cs="Calibri"/>
          <w:sz w:val="22"/>
          <w:szCs w:val="22"/>
          <w:lang w:val="et-EE"/>
        </w:rPr>
        <w:t>Roheinvesteeringute edasilükkamine vähendab konkurentsivõimet ja võib tuua kaasa kauba ümber suunamise teistesse sadamatesse.</w:t>
      </w:r>
    </w:p>
    <w:p w14:paraId="2CD1B73C" w14:textId="6205C7D2" w:rsidR="00080574" w:rsidRPr="002C42F7" w:rsidRDefault="5A76076C" w:rsidP="00DF6B0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2C42F7">
        <w:rPr>
          <w:rFonts w:ascii="Verdana" w:eastAsia="Calibri" w:hAnsi="Verdana" w:cs="Calibri"/>
          <w:sz w:val="22"/>
          <w:szCs w:val="22"/>
          <w:lang w:val="et-EE"/>
        </w:rPr>
        <w:t>Partnerite surve väärtusahelas (sh globaalsete laevandusliinide kliimakohustused) eeldab kiiremat rohepöördega kohandumist.</w:t>
      </w:r>
    </w:p>
    <w:p w14:paraId="15EA9011" w14:textId="7F85E23B" w:rsidR="00080574" w:rsidRPr="002C42F7" w:rsidRDefault="00080574" w:rsidP="00DF6B0F">
      <w:pPr>
        <w:pStyle w:val="ListParagraph"/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</w:p>
    <w:p w14:paraId="3E3F7269" w14:textId="4DC5713B" w:rsidR="00080574" w:rsidRPr="002C42F7" w:rsidRDefault="5A76076C" w:rsidP="00DF6B0F">
      <w:pPr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2C42F7">
        <w:rPr>
          <w:rFonts w:ascii="Verdana" w:eastAsia="Calibri" w:hAnsi="Verdana" w:cs="Calibri"/>
          <w:b/>
          <w:bCs/>
          <w:sz w:val="22"/>
          <w:szCs w:val="22"/>
          <w:lang w:val="et-EE"/>
        </w:rPr>
        <w:t>Õppijate ülesanded:</w:t>
      </w:r>
    </w:p>
    <w:p w14:paraId="555F783D" w14:textId="79973020" w:rsidR="00080574" w:rsidRPr="002C42F7" w:rsidRDefault="5A76076C" w:rsidP="00DF6B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2C42F7">
        <w:rPr>
          <w:rFonts w:ascii="Verdana" w:eastAsia="Calibri" w:hAnsi="Verdana" w:cs="Calibri"/>
          <w:sz w:val="22"/>
          <w:szCs w:val="22"/>
          <w:lang w:val="et-EE"/>
        </w:rPr>
        <w:t>Kaardistage peamised riskid (finants-, regulatiivsed, maine-, tarneahela riskid) ja siduge need sadama rohetasuvuse strateegiaga.</w:t>
      </w:r>
    </w:p>
    <w:p w14:paraId="1C009714" w14:textId="2C0C2C53" w:rsidR="00080574" w:rsidRPr="002C42F7" w:rsidRDefault="5A76076C" w:rsidP="00DF6B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2C42F7">
        <w:rPr>
          <w:rFonts w:ascii="Verdana" w:eastAsia="Calibri" w:hAnsi="Verdana" w:cs="Calibri"/>
          <w:sz w:val="22"/>
          <w:szCs w:val="22"/>
          <w:lang w:val="et-EE"/>
        </w:rPr>
        <w:t>Analüüsige, millised rohetehnoloogiad (nt kaldavool, LNG või vesinikul põhinevad lahendused) on tasuvuse ja riskide vähendamise seisukohalt realistlikud.</w:t>
      </w:r>
    </w:p>
    <w:p w14:paraId="69534013" w14:textId="5EA70871" w:rsidR="00080574" w:rsidRPr="002C42F7" w:rsidRDefault="5A76076C" w:rsidP="00DF6B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2C42F7">
        <w:rPr>
          <w:rFonts w:ascii="Verdana" w:eastAsia="Calibri" w:hAnsi="Verdana" w:cs="Calibri"/>
          <w:sz w:val="22"/>
          <w:szCs w:val="22"/>
          <w:lang w:val="et-EE"/>
        </w:rPr>
        <w:t>Kujundage stsenaariumid (2025, 2030, 2035), hinnates sadama strateegilist positsiooni ja väärtusahela tõhusust rohepöörde erineva kiiruse korral.</w:t>
      </w:r>
    </w:p>
    <w:p w14:paraId="30A13A2C" w14:textId="6F372D02" w:rsidR="00080574" w:rsidRPr="002C42F7" w:rsidRDefault="5A76076C" w:rsidP="00DF6B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2C42F7">
        <w:rPr>
          <w:rFonts w:ascii="Verdana" w:eastAsia="Calibri" w:hAnsi="Verdana" w:cs="Calibri"/>
          <w:sz w:val="22"/>
          <w:szCs w:val="22"/>
          <w:lang w:val="et-EE"/>
        </w:rPr>
        <w:t>Esitage soovitused, kuidas juhtida riskid rohetasuvuse strateegia osaks, integreerides ringmajanduse ja vastutustundliku ärimudeli põhimõtteid</w:t>
      </w:r>
    </w:p>
    <w:p w14:paraId="599BCCED" w14:textId="1BC1581F" w:rsidR="00080574" w:rsidRPr="002C42F7" w:rsidRDefault="00080574" w:rsidP="00DF6B0F">
      <w:pPr>
        <w:pStyle w:val="ListParagraph"/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</w:p>
    <w:p w14:paraId="2C078E63" w14:textId="20F36B4D" w:rsidR="00080574" w:rsidRPr="002C42F7" w:rsidRDefault="00080574" w:rsidP="00DF6B0F">
      <w:p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</w:p>
    <w:p w14:paraId="146DF513" w14:textId="77777777" w:rsidR="00601995" w:rsidRPr="00601995" w:rsidRDefault="00601995" w:rsidP="00DF6B0F">
      <w:pPr>
        <w:spacing w:after="0" w:line="240" w:lineRule="auto"/>
        <w:jc w:val="both"/>
        <w:rPr>
          <w:rFonts w:ascii="Verdana" w:eastAsia="Calibri" w:hAnsi="Verdana" w:cs="Calibri"/>
          <w:b/>
          <w:bCs/>
          <w:sz w:val="22"/>
          <w:szCs w:val="22"/>
          <w:lang w:val="et-EE"/>
        </w:rPr>
      </w:pPr>
      <w:r w:rsidRPr="00601995">
        <w:rPr>
          <w:rFonts w:ascii="Verdana" w:eastAsia="Calibri" w:hAnsi="Verdana" w:cs="Calibri"/>
          <w:b/>
          <w:bCs/>
          <w:sz w:val="22"/>
          <w:szCs w:val="22"/>
          <w:lang w:val="et-EE"/>
        </w:rPr>
        <w:t>Juhtum sobib kasutamiseks nii seminaris, praktikumis kui ka hindelises rühmatöös.</w:t>
      </w:r>
    </w:p>
    <w:p w14:paraId="6188A02D" w14:textId="77777777" w:rsidR="00601995" w:rsidRPr="002C42F7" w:rsidRDefault="00601995" w:rsidP="00DF6B0F">
      <w:pPr>
        <w:spacing w:after="0" w:line="240" w:lineRule="auto"/>
        <w:jc w:val="both"/>
        <w:rPr>
          <w:rFonts w:ascii="Verdana" w:eastAsia="Calibri" w:hAnsi="Verdana" w:cs="Calibri"/>
          <w:b/>
          <w:bCs/>
          <w:sz w:val="22"/>
          <w:szCs w:val="22"/>
          <w:lang w:val="et-EE"/>
        </w:rPr>
      </w:pPr>
      <w:r w:rsidRPr="00601995">
        <w:rPr>
          <w:rFonts w:ascii="Verdana" w:eastAsia="Calibri" w:hAnsi="Verdana" w:cs="Calibri"/>
          <w:b/>
          <w:bCs/>
          <w:sz w:val="22"/>
          <w:szCs w:val="22"/>
          <w:lang w:val="et-EE"/>
        </w:rPr>
        <w:t>Soovitatav töökorraldus (90 minutit</w:t>
      </w:r>
    </w:p>
    <w:p w14:paraId="4A653907" w14:textId="541D9885" w:rsidR="00601995" w:rsidRPr="00601995" w:rsidRDefault="008A162A" w:rsidP="00DF6B0F">
      <w:pPr>
        <w:spacing w:after="0" w:line="240" w:lineRule="auto"/>
        <w:jc w:val="both"/>
        <w:rPr>
          <w:rFonts w:ascii="Verdana" w:eastAsia="Calibri" w:hAnsi="Verdana" w:cs="Calibri"/>
          <w:b/>
          <w:bCs/>
          <w:sz w:val="22"/>
          <w:szCs w:val="22"/>
          <w:lang w:val="et-EE"/>
        </w:rPr>
      </w:pPr>
      <w:r w:rsidRPr="002C42F7">
        <w:rPr>
          <w:rFonts w:ascii="Verdana" w:eastAsia="Calibri" w:hAnsi="Verdana" w:cs="Calibri"/>
          <w:b/>
          <w:bCs/>
          <w:sz w:val="22"/>
          <w:szCs w:val="22"/>
          <w:lang w:val="et-EE"/>
        </w:rPr>
        <w:t xml:space="preserve">1. </w:t>
      </w:r>
      <w:r w:rsidR="00601995" w:rsidRPr="00601995">
        <w:rPr>
          <w:rFonts w:ascii="Verdana" w:eastAsia="Calibri" w:hAnsi="Verdana" w:cs="Calibri"/>
          <w:b/>
          <w:bCs/>
          <w:sz w:val="22"/>
          <w:szCs w:val="22"/>
          <w:lang w:val="et-EE"/>
        </w:rPr>
        <w:t>Sissejuhatus ja raamimine (10–15 min)</w:t>
      </w:r>
    </w:p>
    <w:p w14:paraId="2849AC8B" w14:textId="77777777" w:rsidR="00601995" w:rsidRPr="00601995" w:rsidRDefault="00601995" w:rsidP="00DF6B0F">
      <w:p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601995">
        <w:rPr>
          <w:rFonts w:ascii="Verdana" w:eastAsia="Calibri" w:hAnsi="Verdana" w:cs="Calibri"/>
          <w:sz w:val="22"/>
          <w:szCs w:val="22"/>
          <w:lang w:val="et-EE"/>
        </w:rPr>
        <w:t>Õppejõud:</w:t>
      </w:r>
    </w:p>
    <w:p w14:paraId="5D113F34" w14:textId="543CB281" w:rsidR="00601995" w:rsidRPr="00601995" w:rsidRDefault="00601995" w:rsidP="00DF6B0F">
      <w:pPr>
        <w:numPr>
          <w:ilvl w:val="0"/>
          <w:numId w:val="6"/>
        </w:num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601995">
        <w:rPr>
          <w:rFonts w:ascii="Verdana" w:eastAsia="Calibri" w:hAnsi="Verdana" w:cs="Calibri"/>
          <w:sz w:val="22"/>
          <w:szCs w:val="22"/>
          <w:lang w:val="et-EE"/>
        </w:rPr>
        <w:t xml:space="preserve">Tutvustab </w:t>
      </w:r>
      <w:proofErr w:type="spellStart"/>
      <w:r w:rsidRPr="00601995">
        <w:rPr>
          <w:rFonts w:ascii="Verdana" w:eastAsia="Calibri" w:hAnsi="Verdana" w:cs="Calibri"/>
          <w:sz w:val="22"/>
          <w:szCs w:val="22"/>
          <w:lang w:val="et-EE"/>
        </w:rPr>
        <w:t>lühidalt:EL</w:t>
      </w:r>
      <w:proofErr w:type="spellEnd"/>
      <w:r w:rsidRPr="00601995">
        <w:rPr>
          <w:rFonts w:ascii="Verdana" w:eastAsia="Calibri" w:hAnsi="Verdana" w:cs="Calibri"/>
          <w:sz w:val="22"/>
          <w:szCs w:val="22"/>
          <w:lang w:val="et-EE"/>
        </w:rPr>
        <w:t xml:space="preserve"> „</w:t>
      </w:r>
      <w:proofErr w:type="spellStart"/>
      <w:r w:rsidRPr="00601995">
        <w:rPr>
          <w:rFonts w:ascii="Verdana" w:eastAsia="Calibri" w:hAnsi="Verdana" w:cs="Calibri"/>
          <w:sz w:val="22"/>
          <w:szCs w:val="22"/>
          <w:lang w:val="et-EE"/>
        </w:rPr>
        <w:t>Fit</w:t>
      </w:r>
      <w:proofErr w:type="spellEnd"/>
      <w:r w:rsidRPr="00601995">
        <w:rPr>
          <w:rFonts w:ascii="Verdana" w:eastAsia="Calibri" w:hAnsi="Verdana" w:cs="Calibri"/>
          <w:sz w:val="22"/>
          <w:szCs w:val="22"/>
          <w:lang w:val="et-EE"/>
        </w:rPr>
        <w:t xml:space="preserve"> </w:t>
      </w:r>
      <w:proofErr w:type="spellStart"/>
      <w:r w:rsidRPr="00601995">
        <w:rPr>
          <w:rFonts w:ascii="Verdana" w:eastAsia="Calibri" w:hAnsi="Verdana" w:cs="Calibri"/>
          <w:sz w:val="22"/>
          <w:szCs w:val="22"/>
          <w:lang w:val="et-EE"/>
        </w:rPr>
        <w:t>for</w:t>
      </w:r>
      <w:proofErr w:type="spellEnd"/>
      <w:r w:rsidRPr="00601995">
        <w:rPr>
          <w:rFonts w:ascii="Verdana" w:eastAsia="Calibri" w:hAnsi="Verdana" w:cs="Calibri"/>
          <w:sz w:val="22"/>
          <w:szCs w:val="22"/>
          <w:lang w:val="et-EE"/>
        </w:rPr>
        <w:t xml:space="preserve"> 55”</w:t>
      </w:r>
      <w:r w:rsidRPr="002C42F7">
        <w:rPr>
          <w:rFonts w:ascii="Verdana" w:eastAsia="Calibri" w:hAnsi="Verdana" w:cs="Calibri"/>
          <w:sz w:val="22"/>
          <w:szCs w:val="22"/>
          <w:lang w:val="et-EE"/>
        </w:rPr>
        <w:t xml:space="preserve">; </w:t>
      </w:r>
      <w:r w:rsidRPr="00601995">
        <w:rPr>
          <w:rFonts w:ascii="Verdana" w:eastAsia="Calibri" w:hAnsi="Verdana" w:cs="Calibri"/>
          <w:sz w:val="22"/>
          <w:szCs w:val="22"/>
          <w:lang w:val="et-EE"/>
        </w:rPr>
        <w:t>TEN-T poliitikat</w:t>
      </w:r>
      <w:r w:rsidRPr="002C42F7">
        <w:rPr>
          <w:rFonts w:ascii="Verdana" w:eastAsia="Calibri" w:hAnsi="Verdana" w:cs="Calibri"/>
          <w:sz w:val="22"/>
          <w:szCs w:val="22"/>
          <w:lang w:val="et-EE"/>
        </w:rPr>
        <w:t xml:space="preserve">; </w:t>
      </w:r>
      <w:r w:rsidRPr="00601995">
        <w:rPr>
          <w:rFonts w:ascii="Verdana" w:eastAsia="Calibri" w:hAnsi="Verdana" w:cs="Calibri"/>
          <w:sz w:val="22"/>
          <w:szCs w:val="22"/>
          <w:lang w:val="et-EE"/>
        </w:rPr>
        <w:t>ETS laienemist merendusele</w:t>
      </w:r>
    </w:p>
    <w:p w14:paraId="0732202E" w14:textId="02B0EE94" w:rsidR="00601995" w:rsidRPr="00601995" w:rsidRDefault="00601995" w:rsidP="00DF6B0F">
      <w:pPr>
        <w:numPr>
          <w:ilvl w:val="0"/>
          <w:numId w:val="6"/>
        </w:num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601995">
        <w:rPr>
          <w:rFonts w:ascii="Verdana" w:eastAsia="Calibri" w:hAnsi="Verdana" w:cs="Calibri"/>
          <w:sz w:val="22"/>
          <w:szCs w:val="22"/>
          <w:lang w:val="et-EE"/>
        </w:rPr>
        <w:t xml:space="preserve">Seob juhtumi varasemate </w:t>
      </w:r>
      <w:proofErr w:type="spellStart"/>
      <w:r w:rsidRPr="00601995">
        <w:rPr>
          <w:rFonts w:ascii="Verdana" w:eastAsia="Calibri" w:hAnsi="Verdana" w:cs="Calibri"/>
          <w:sz w:val="22"/>
          <w:szCs w:val="22"/>
          <w:lang w:val="et-EE"/>
        </w:rPr>
        <w:t>teemadega:rohetasuvus</w:t>
      </w:r>
      <w:proofErr w:type="spellEnd"/>
      <w:r w:rsidRPr="00601995">
        <w:rPr>
          <w:rFonts w:ascii="Verdana" w:eastAsia="Calibri" w:hAnsi="Verdana" w:cs="Calibri"/>
          <w:sz w:val="22"/>
          <w:szCs w:val="22"/>
          <w:lang w:val="et-EE"/>
        </w:rPr>
        <w:t xml:space="preserve"> transpordis,</w:t>
      </w:r>
      <w:r w:rsidR="008A162A" w:rsidRPr="002C42F7">
        <w:rPr>
          <w:rFonts w:ascii="Verdana" w:eastAsia="Calibri" w:hAnsi="Verdana" w:cs="Calibri"/>
          <w:sz w:val="22"/>
          <w:szCs w:val="22"/>
          <w:lang w:val="et-EE"/>
        </w:rPr>
        <w:t xml:space="preserve"> </w:t>
      </w:r>
      <w:r w:rsidRPr="00601995">
        <w:rPr>
          <w:rFonts w:ascii="Verdana" w:eastAsia="Calibri" w:hAnsi="Verdana" w:cs="Calibri"/>
          <w:sz w:val="22"/>
          <w:szCs w:val="22"/>
          <w:lang w:val="et-EE"/>
        </w:rPr>
        <w:t>välismõjud,</w:t>
      </w:r>
      <w:r w:rsidR="008A162A" w:rsidRPr="002C42F7">
        <w:rPr>
          <w:rFonts w:ascii="Verdana" w:eastAsia="Calibri" w:hAnsi="Verdana" w:cs="Calibri"/>
          <w:sz w:val="22"/>
          <w:szCs w:val="22"/>
          <w:lang w:val="et-EE"/>
        </w:rPr>
        <w:t xml:space="preserve"> </w:t>
      </w:r>
      <w:r w:rsidRPr="00601995">
        <w:rPr>
          <w:rFonts w:ascii="Verdana" w:eastAsia="Calibri" w:hAnsi="Verdana" w:cs="Calibri"/>
          <w:sz w:val="22"/>
          <w:szCs w:val="22"/>
          <w:lang w:val="et-EE"/>
        </w:rPr>
        <w:t>väärtusahelad</w:t>
      </w:r>
      <w:r w:rsidR="008A162A" w:rsidRPr="002C42F7">
        <w:rPr>
          <w:rFonts w:ascii="Verdana" w:eastAsia="Calibri" w:hAnsi="Verdana" w:cs="Calibri"/>
          <w:sz w:val="22"/>
          <w:szCs w:val="22"/>
          <w:lang w:val="et-EE"/>
        </w:rPr>
        <w:t xml:space="preserve">, </w:t>
      </w:r>
      <w:r w:rsidRPr="00601995">
        <w:rPr>
          <w:rFonts w:ascii="Verdana" w:eastAsia="Calibri" w:hAnsi="Verdana" w:cs="Calibri"/>
          <w:sz w:val="22"/>
          <w:szCs w:val="22"/>
          <w:lang w:val="et-EE"/>
        </w:rPr>
        <w:t>riskijuhtimine.</w:t>
      </w:r>
    </w:p>
    <w:p w14:paraId="64891AE8" w14:textId="505600E7" w:rsidR="00601995" w:rsidRPr="00601995" w:rsidRDefault="00601995" w:rsidP="00DF6B0F">
      <w:p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601995">
        <w:rPr>
          <w:rFonts w:ascii="Verdana" w:eastAsia="Calibri" w:hAnsi="Verdana" w:cs="Calibri"/>
          <w:b/>
          <w:bCs/>
          <w:sz w:val="22"/>
          <w:szCs w:val="22"/>
          <w:lang w:val="et-EE"/>
        </w:rPr>
        <w:lastRenderedPageBreak/>
        <w:t>Aktiveeriv küsimus auditooriumile:</w:t>
      </w:r>
      <w:r w:rsidR="008A162A" w:rsidRPr="002C42F7">
        <w:rPr>
          <w:rFonts w:ascii="Verdana" w:eastAsia="Calibri" w:hAnsi="Verdana" w:cs="Calibri"/>
          <w:sz w:val="22"/>
          <w:szCs w:val="22"/>
          <w:lang w:val="et-EE"/>
        </w:rPr>
        <w:t xml:space="preserve"> </w:t>
      </w:r>
      <w:r w:rsidRPr="00601995">
        <w:rPr>
          <w:rFonts w:ascii="Verdana" w:eastAsia="Calibri" w:hAnsi="Verdana" w:cs="Calibri"/>
          <w:sz w:val="22"/>
          <w:szCs w:val="22"/>
          <w:lang w:val="et-EE"/>
        </w:rPr>
        <w:t>Kas sadam peaks olema reaktiivne (täitma miinimumnõudeid) või proaktiivne (rohepööret eest vedama)? Miks?”</w:t>
      </w:r>
    </w:p>
    <w:p w14:paraId="0991C2DF" w14:textId="77777777" w:rsidR="008A162A" w:rsidRPr="002C42F7" w:rsidRDefault="008A162A" w:rsidP="00DF6B0F">
      <w:p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</w:p>
    <w:p w14:paraId="1C0AD707" w14:textId="4B82C7F3" w:rsidR="00601995" w:rsidRPr="00601995" w:rsidRDefault="008A162A" w:rsidP="00DF6B0F">
      <w:pPr>
        <w:spacing w:after="0" w:line="240" w:lineRule="auto"/>
        <w:jc w:val="both"/>
        <w:rPr>
          <w:rFonts w:ascii="Verdana" w:eastAsia="Calibri" w:hAnsi="Verdana" w:cs="Calibri"/>
          <w:b/>
          <w:bCs/>
          <w:sz w:val="22"/>
          <w:szCs w:val="22"/>
          <w:lang w:val="et-EE"/>
        </w:rPr>
      </w:pPr>
      <w:r w:rsidRPr="002C42F7">
        <w:rPr>
          <w:rFonts w:ascii="Verdana" w:eastAsia="Calibri" w:hAnsi="Verdana" w:cs="Calibri"/>
          <w:b/>
          <w:bCs/>
          <w:sz w:val="22"/>
          <w:szCs w:val="22"/>
          <w:lang w:val="et-EE"/>
        </w:rPr>
        <w:t>2.</w:t>
      </w:r>
      <w:r w:rsidR="00601995" w:rsidRPr="00601995">
        <w:rPr>
          <w:rFonts w:ascii="Verdana" w:eastAsia="Calibri" w:hAnsi="Verdana" w:cs="Calibri"/>
          <w:b/>
          <w:bCs/>
          <w:sz w:val="22"/>
          <w:szCs w:val="22"/>
          <w:lang w:val="et-EE"/>
        </w:rPr>
        <w:t xml:space="preserve"> Grupitöö korraldus (5 min)</w:t>
      </w:r>
    </w:p>
    <w:p w14:paraId="66E7F8D7" w14:textId="237B4989" w:rsidR="00601995" w:rsidRPr="00601995" w:rsidRDefault="00601995" w:rsidP="00DF6B0F">
      <w:p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601995">
        <w:rPr>
          <w:rFonts w:ascii="Verdana" w:eastAsia="Calibri" w:hAnsi="Verdana" w:cs="Calibri"/>
          <w:sz w:val="22"/>
          <w:szCs w:val="22"/>
          <w:lang w:val="et-EE"/>
        </w:rPr>
        <w:t>Jaga</w:t>
      </w:r>
      <w:r w:rsidR="008A162A" w:rsidRPr="002C42F7">
        <w:rPr>
          <w:rFonts w:ascii="Verdana" w:eastAsia="Calibri" w:hAnsi="Verdana" w:cs="Calibri"/>
          <w:sz w:val="22"/>
          <w:szCs w:val="22"/>
          <w:lang w:val="et-EE"/>
        </w:rPr>
        <w:t>da</w:t>
      </w:r>
      <w:r w:rsidRPr="00601995">
        <w:rPr>
          <w:rFonts w:ascii="Verdana" w:eastAsia="Calibri" w:hAnsi="Verdana" w:cs="Calibri"/>
          <w:sz w:val="22"/>
          <w:szCs w:val="22"/>
          <w:lang w:val="et-EE"/>
        </w:rPr>
        <w:t xml:space="preserve"> tudengid 4–5 liikmelistesse rühmadesse ning anna igale rühmale </w:t>
      </w:r>
      <w:r w:rsidRPr="00601995">
        <w:rPr>
          <w:rFonts w:ascii="Verdana" w:eastAsia="Calibri" w:hAnsi="Verdana" w:cs="Calibri"/>
          <w:b/>
          <w:bCs/>
          <w:sz w:val="22"/>
          <w:szCs w:val="22"/>
          <w:lang w:val="et-EE"/>
        </w:rPr>
        <w:t>kindel rolliperspektiiv</w:t>
      </w:r>
      <w:r w:rsidRPr="00601995">
        <w:rPr>
          <w:rFonts w:ascii="Verdana" w:eastAsia="Calibri" w:hAnsi="Verdana" w:cs="Calibri"/>
          <w:sz w:val="22"/>
          <w:szCs w:val="22"/>
          <w:lang w:val="et-EE"/>
        </w:rPr>
        <w:t>:</w:t>
      </w:r>
    </w:p>
    <w:p w14:paraId="6C422D04" w14:textId="77777777" w:rsidR="00601995" w:rsidRPr="00601995" w:rsidRDefault="00601995" w:rsidP="00DF6B0F">
      <w:pPr>
        <w:numPr>
          <w:ilvl w:val="0"/>
          <w:numId w:val="7"/>
        </w:num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601995">
        <w:rPr>
          <w:rFonts w:ascii="Verdana" w:eastAsia="Calibri" w:hAnsi="Verdana" w:cs="Calibri"/>
          <w:b/>
          <w:bCs/>
          <w:sz w:val="22"/>
          <w:szCs w:val="22"/>
          <w:lang w:val="et-EE"/>
        </w:rPr>
        <w:t>Sadamajuhtkond</w:t>
      </w:r>
      <w:r w:rsidRPr="00601995">
        <w:rPr>
          <w:rFonts w:ascii="Verdana" w:eastAsia="Calibri" w:hAnsi="Verdana" w:cs="Calibri"/>
          <w:sz w:val="22"/>
          <w:szCs w:val="22"/>
          <w:lang w:val="et-EE"/>
        </w:rPr>
        <w:t xml:space="preserve"> – keskendub majandustulemustele ja investeeringutele</w:t>
      </w:r>
    </w:p>
    <w:p w14:paraId="41C5D549" w14:textId="77777777" w:rsidR="00601995" w:rsidRPr="00601995" w:rsidRDefault="00601995" w:rsidP="00DF6B0F">
      <w:pPr>
        <w:numPr>
          <w:ilvl w:val="0"/>
          <w:numId w:val="7"/>
        </w:num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601995">
        <w:rPr>
          <w:rFonts w:ascii="Verdana" w:eastAsia="Calibri" w:hAnsi="Verdana" w:cs="Calibri"/>
          <w:b/>
          <w:bCs/>
          <w:sz w:val="22"/>
          <w:szCs w:val="22"/>
          <w:lang w:val="et-EE"/>
        </w:rPr>
        <w:t>Keskkonnajuht</w:t>
      </w:r>
      <w:r w:rsidRPr="00601995">
        <w:rPr>
          <w:rFonts w:ascii="Verdana" w:eastAsia="Calibri" w:hAnsi="Verdana" w:cs="Calibri"/>
          <w:sz w:val="22"/>
          <w:szCs w:val="22"/>
          <w:lang w:val="et-EE"/>
        </w:rPr>
        <w:t xml:space="preserve"> – keskendub heitmetele, regulatsioonidele ja riskidele</w:t>
      </w:r>
    </w:p>
    <w:p w14:paraId="5D941B79" w14:textId="77777777" w:rsidR="00601995" w:rsidRPr="00601995" w:rsidRDefault="00601995" w:rsidP="00DF6B0F">
      <w:pPr>
        <w:numPr>
          <w:ilvl w:val="0"/>
          <w:numId w:val="7"/>
        </w:num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601995">
        <w:rPr>
          <w:rFonts w:ascii="Verdana" w:eastAsia="Calibri" w:hAnsi="Verdana" w:cs="Calibri"/>
          <w:b/>
          <w:bCs/>
          <w:sz w:val="22"/>
          <w:szCs w:val="22"/>
          <w:lang w:val="et-EE"/>
        </w:rPr>
        <w:t>Laevanduspartner</w:t>
      </w:r>
      <w:r w:rsidRPr="00601995">
        <w:rPr>
          <w:rFonts w:ascii="Verdana" w:eastAsia="Calibri" w:hAnsi="Verdana" w:cs="Calibri"/>
          <w:sz w:val="22"/>
          <w:szCs w:val="22"/>
          <w:lang w:val="et-EE"/>
        </w:rPr>
        <w:t xml:space="preserve"> – keskendub tarneahela nõuetele</w:t>
      </w:r>
    </w:p>
    <w:p w14:paraId="15EED584" w14:textId="77777777" w:rsidR="00601995" w:rsidRPr="00601995" w:rsidRDefault="00601995" w:rsidP="00DF6B0F">
      <w:pPr>
        <w:numPr>
          <w:ilvl w:val="0"/>
          <w:numId w:val="7"/>
        </w:num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601995">
        <w:rPr>
          <w:rFonts w:ascii="Verdana" w:eastAsia="Calibri" w:hAnsi="Verdana" w:cs="Calibri"/>
          <w:b/>
          <w:bCs/>
          <w:sz w:val="22"/>
          <w:szCs w:val="22"/>
          <w:lang w:val="et-EE"/>
        </w:rPr>
        <w:t>Kohalik omavalitsus</w:t>
      </w:r>
      <w:r w:rsidRPr="00601995">
        <w:rPr>
          <w:rFonts w:ascii="Verdana" w:eastAsia="Calibri" w:hAnsi="Verdana" w:cs="Calibri"/>
          <w:sz w:val="22"/>
          <w:szCs w:val="22"/>
          <w:lang w:val="et-EE"/>
        </w:rPr>
        <w:t xml:space="preserve"> – keskendub kogukonnale ja keskkonnale</w:t>
      </w:r>
    </w:p>
    <w:p w14:paraId="0681D34B" w14:textId="77777777" w:rsidR="00601995" w:rsidRPr="00601995" w:rsidRDefault="00601995" w:rsidP="00DF6B0F">
      <w:pPr>
        <w:numPr>
          <w:ilvl w:val="0"/>
          <w:numId w:val="7"/>
        </w:num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601995">
        <w:rPr>
          <w:rFonts w:ascii="Verdana" w:eastAsia="Calibri" w:hAnsi="Verdana" w:cs="Calibri"/>
          <w:b/>
          <w:bCs/>
          <w:sz w:val="22"/>
          <w:szCs w:val="22"/>
          <w:lang w:val="et-EE"/>
        </w:rPr>
        <w:t>Investor</w:t>
      </w:r>
      <w:r w:rsidRPr="00601995">
        <w:rPr>
          <w:rFonts w:ascii="Verdana" w:eastAsia="Calibri" w:hAnsi="Verdana" w:cs="Calibri"/>
          <w:sz w:val="22"/>
          <w:szCs w:val="22"/>
          <w:lang w:val="et-EE"/>
        </w:rPr>
        <w:t xml:space="preserve"> – keskendub tasuvusele, riskidele ja rahastamisele</w:t>
      </w:r>
    </w:p>
    <w:p w14:paraId="3D938969" w14:textId="77777777" w:rsidR="00601995" w:rsidRPr="00601995" w:rsidRDefault="00601995" w:rsidP="00DF6B0F">
      <w:p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601995">
        <w:rPr>
          <w:rFonts w:ascii="Verdana" w:eastAsia="Calibri" w:hAnsi="Verdana" w:cs="Calibri"/>
          <w:sz w:val="22"/>
          <w:szCs w:val="22"/>
          <w:lang w:val="et-EE"/>
        </w:rPr>
        <w:t>Iga rühm analüüsib juhtumit oma rolli vaatenurgast.</w:t>
      </w:r>
    </w:p>
    <w:p w14:paraId="0AB69F11" w14:textId="77777777" w:rsidR="008A162A" w:rsidRPr="002C42F7" w:rsidRDefault="008A162A" w:rsidP="00DF6B0F">
      <w:p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</w:p>
    <w:p w14:paraId="2F384103" w14:textId="45899C5D" w:rsidR="00601995" w:rsidRPr="00601995" w:rsidRDefault="008A162A" w:rsidP="00DF6B0F">
      <w:pPr>
        <w:spacing w:after="0" w:line="240" w:lineRule="auto"/>
        <w:jc w:val="both"/>
        <w:rPr>
          <w:rFonts w:ascii="Verdana" w:eastAsia="Calibri" w:hAnsi="Verdana" w:cs="Calibri"/>
          <w:b/>
          <w:bCs/>
          <w:sz w:val="22"/>
          <w:szCs w:val="22"/>
          <w:lang w:val="et-EE"/>
        </w:rPr>
      </w:pPr>
      <w:r w:rsidRPr="002C42F7">
        <w:rPr>
          <w:rFonts w:ascii="Verdana" w:eastAsia="Calibri" w:hAnsi="Verdana" w:cs="Calibri"/>
          <w:b/>
          <w:bCs/>
          <w:sz w:val="22"/>
          <w:szCs w:val="22"/>
          <w:lang w:val="et-EE"/>
        </w:rPr>
        <w:t xml:space="preserve">3. </w:t>
      </w:r>
      <w:r w:rsidR="00601995" w:rsidRPr="00601995">
        <w:rPr>
          <w:rFonts w:ascii="Verdana" w:eastAsia="Calibri" w:hAnsi="Verdana" w:cs="Calibri"/>
          <w:b/>
          <w:bCs/>
          <w:sz w:val="22"/>
          <w:szCs w:val="22"/>
          <w:lang w:val="et-EE"/>
        </w:rPr>
        <w:t>Struktureeritud grupianalüüs (35–40 min)</w:t>
      </w:r>
    </w:p>
    <w:p w14:paraId="017DEC42" w14:textId="7B3A7620" w:rsidR="00601995" w:rsidRPr="00601995" w:rsidRDefault="00601995" w:rsidP="00DF6B0F">
      <w:p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601995">
        <w:rPr>
          <w:rFonts w:ascii="Verdana" w:eastAsia="Calibri" w:hAnsi="Verdana" w:cs="Calibri"/>
          <w:b/>
          <w:bCs/>
          <w:sz w:val="22"/>
          <w:szCs w:val="22"/>
          <w:lang w:val="et-EE"/>
        </w:rPr>
        <w:t>Riskide kaardistamine</w:t>
      </w:r>
    </w:p>
    <w:p w14:paraId="56DD5C25" w14:textId="4E99F384" w:rsidR="00601995" w:rsidRPr="00601995" w:rsidRDefault="00601995" w:rsidP="00DF6B0F">
      <w:p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601995">
        <w:rPr>
          <w:rFonts w:ascii="Verdana" w:eastAsia="Calibri" w:hAnsi="Verdana" w:cs="Calibri"/>
          <w:sz w:val="22"/>
          <w:szCs w:val="22"/>
          <w:lang w:val="et-EE"/>
        </w:rPr>
        <w:t>Rühmad peavad vastama</w:t>
      </w:r>
      <w:r w:rsidR="007D769F" w:rsidRPr="002C42F7">
        <w:rPr>
          <w:rFonts w:ascii="Verdana" w:eastAsia="Calibri" w:hAnsi="Verdana" w:cs="Calibri"/>
          <w:sz w:val="22"/>
          <w:szCs w:val="22"/>
          <w:lang w:val="et-EE"/>
        </w:rPr>
        <w:t xml:space="preserve"> – soovitatavalt riskimaatriksi vormis</w:t>
      </w:r>
    </w:p>
    <w:p w14:paraId="088CE855" w14:textId="77777777" w:rsidR="007D769F" w:rsidRPr="002C42F7" w:rsidRDefault="00601995" w:rsidP="00DF6B0F">
      <w:pPr>
        <w:numPr>
          <w:ilvl w:val="0"/>
          <w:numId w:val="8"/>
        </w:num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601995">
        <w:rPr>
          <w:rFonts w:ascii="Verdana" w:eastAsia="Calibri" w:hAnsi="Verdana" w:cs="Calibri"/>
          <w:sz w:val="22"/>
          <w:szCs w:val="22"/>
          <w:lang w:val="et-EE"/>
        </w:rPr>
        <w:t>Millised on peamised</w:t>
      </w:r>
      <w:r w:rsidR="008A162A" w:rsidRPr="002C42F7">
        <w:rPr>
          <w:rFonts w:ascii="Verdana" w:eastAsia="Calibri" w:hAnsi="Verdana" w:cs="Calibri"/>
          <w:sz w:val="22"/>
          <w:szCs w:val="22"/>
          <w:lang w:val="et-EE"/>
        </w:rPr>
        <w:t xml:space="preserve"> </w:t>
      </w:r>
      <w:r w:rsidRPr="00601995">
        <w:rPr>
          <w:rFonts w:ascii="Verdana" w:eastAsia="Calibri" w:hAnsi="Verdana" w:cs="Calibri"/>
          <w:b/>
          <w:bCs/>
          <w:sz w:val="22"/>
          <w:szCs w:val="22"/>
          <w:lang w:val="et-EE"/>
        </w:rPr>
        <w:t>finantsriskid</w:t>
      </w:r>
      <w:r w:rsidR="008A162A" w:rsidRPr="002C42F7">
        <w:rPr>
          <w:rFonts w:ascii="Verdana" w:eastAsia="Calibri" w:hAnsi="Verdana" w:cs="Calibri"/>
          <w:sz w:val="22"/>
          <w:szCs w:val="22"/>
          <w:lang w:val="et-EE"/>
        </w:rPr>
        <w:t xml:space="preserve">, </w:t>
      </w:r>
      <w:r w:rsidRPr="00601995">
        <w:rPr>
          <w:rFonts w:ascii="Verdana" w:eastAsia="Calibri" w:hAnsi="Verdana" w:cs="Calibri"/>
          <w:b/>
          <w:bCs/>
          <w:sz w:val="22"/>
          <w:szCs w:val="22"/>
          <w:lang w:val="et-EE"/>
        </w:rPr>
        <w:t>regulatiivsed riskid</w:t>
      </w:r>
      <w:r w:rsidR="008A162A" w:rsidRPr="002C42F7">
        <w:rPr>
          <w:rFonts w:ascii="Verdana" w:eastAsia="Calibri" w:hAnsi="Verdana" w:cs="Calibri"/>
          <w:sz w:val="22"/>
          <w:szCs w:val="22"/>
          <w:lang w:val="et-EE"/>
        </w:rPr>
        <w:t xml:space="preserve">, </w:t>
      </w:r>
      <w:r w:rsidRPr="00601995">
        <w:rPr>
          <w:rFonts w:ascii="Verdana" w:eastAsia="Calibri" w:hAnsi="Verdana" w:cs="Calibri"/>
          <w:b/>
          <w:bCs/>
          <w:sz w:val="22"/>
          <w:szCs w:val="22"/>
          <w:lang w:val="et-EE"/>
        </w:rPr>
        <w:t>maine-riskid</w:t>
      </w:r>
      <w:r w:rsidR="008A162A" w:rsidRPr="002C42F7">
        <w:rPr>
          <w:rFonts w:ascii="Verdana" w:eastAsia="Calibri" w:hAnsi="Verdana" w:cs="Calibri"/>
          <w:sz w:val="22"/>
          <w:szCs w:val="22"/>
          <w:lang w:val="et-EE"/>
        </w:rPr>
        <w:t xml:space="preserve">, </w:t>
      </w:r>
      <w:r w:rsidRPr="00601995">
        <w:rPr>
          <w:rFonts w:ascii="Verdana" w:eastAsia="Calibri" w:hAnsi="Verdana" w:cs="Calibri"/>
          <w:b/>
          <w:bCs/>
          <w:sz w:val="22"/>
          <w:szCs w:val="22"/>
          <w:lang w:val="et-EE"/>
        </w:rPr>
        <w:t>tarneahela riskid</w:t>
      </w:r>
      <w:r w:rsidRPr="00601995">
        <w:rPr>
          <w:rFonts w:ascii="Verdana" w:eastAsia="Calibri" w:hAnsi="Verdana" w:cs="Calibri"/>
          <w:sz w:val="22"/>
          <w:szCs w:val="22"/>
          <w:lang w:val="et-EE"/>
        </w:rPr>
        <w:t>?</w:t>
      </w:r>
    </w:p>
    <w:p w14:paraId="40F02C41" w14:textId="77777777" w:rsidR="007D769F" w:rsidRPr="002C42F7" w:rsidRDefault="007D769F" w:rsidP="00DF6B0F">
      <w:pPr>
        <w:spacing w:after="0" w:line="240" w:lineRule="auto"/>
        <w:jc w:val="both"/>
        <w:rPr>
          <w:rFonts w:ascii="Verdana" w:eastAsia="Calibri" w:hAnsi="Verdana" w:cs="Calibri"/>
          <w:b/>
          <w:bCs/>
          <w:sz w:val="22"/>
          <w:szCs w:val="22"/>
          <w:lang w:val="et-EE"/>
        </w:rPr>
      </w:pPr>
    </w:p>
    <w:p w14:paraId="1C6AF0D1" w14:textId="0D52EA38" w:rsidR="00601995" w:rsidRPr="00601995" w:rsidRDefault="00601995" w:rsidP="00DF6B0F">
      <w:p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601995">
        <w:rPr>
          <w:rFonts w:ascii="Verdana" w:eastAsia="Calibri" w:hAnsi="Verdana" w:cs="Calibri"/>
          <w:b/>
          <w:bCs/>
          <w:sz w:val="22"/>
          <w:szCs w:val="22"/>
          <w:lang w:val="et-EE"/>
        </w:rPr>
        <w:t>Rohetehnoloogiate analüüs</w:t>
      </w:r>
    </w:p>
    <w:p w14:paraId="64A96F50" w14:textId="3C957B53" w:rsidR="00601995" w:rsidRPr="00601995" w:rsidRDefault="00601995" w:rsidP="00DF6B0F">
      <w:p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601995">
        <w:rPr>
          <w:rFonts w:ascii="Verdana" w:eastAsia="Calibri" w:hAnsi="Verdana" w:cs="Calibri"/>
          <w:sz w:val="22"/>
          <w:szCs w:val="22"/>
          <w:lang w:val="et-EE"/>
        </w:rPr>
        <w:t>Rühmad hindavad kolme varianti:</w:t>
      </w:r>
      <w:r w:rsidR="007D769F" w:rsidRPr="00C36BAE">
        <w:rPr>
          <w:rFonts w:ascii="Verdana" w:eastAsia="Calibri" w:hAnsi="Verdana" w:cs="Calibri"/>
          <w:sz w:val="22"/>
          <w:szCs w:val="22"/>
          <w:lang w:val="et-EE"/>
        </w:rPr>
        <w:t xml:space="preserve"> k</w:t>
      </w:r>
      <w:r w:rsidRPr="00601995">
        <w:rPr>
          <w:rFonts w:ascii="Verdana" w:eastAsia="Calibri" w:hAnsi="Verdana" w:cs="Calibri"/>
          <w:sz w:val="22"/>
          <w:szCs w:val="22"/>
          <w:lang w:val="et-EE"/>
        </w:rPr>
        <w:t>aldavool (</w:t>
      </w:r>
      <w:proofErr w:type="spellStart"/>
      <w:r w:rsidRPr="00601995">
        <w:rPr>
          <w:rFonts w:ascii="Verdana" w:eastAsia="Calibri" w:hAnsi="Verdana" w:cs="Calibri"/>
          <w:sz w:val="22"/>
          <w:szCs w:val="22"/>
          <w:lang w:val="et-EE"/>
        </w:rPr>
        <w:t>shore</w:t>
      </w:r>
      <w:proofErr w:type="spellEnd"/>
      <w:r w:rsidRPr="00601995">
        <w:rPr>
          <w:rFonts w:ascii="Verdana" w:eastAsia="Calibri" w:hAnsi="Verdana" w:cs="Calibri"/>
          <w:sz w:val="22"/>
          <w:szCs w:val="22"/>
          <w:lang w:val="et-EE"/>
        </w:rPr>
        <w:t xml:space="preserve"> </w:t>
      </w:r>
      <w:proofErr w:type="spellStart"/>
      <w:r w:rsidRPr="00601995">
        <w:rPr>
          <w:rFonts w:ascii="Verdana" w:eastAsia="Calibri" w:hAnsi="Verdana" w:cs="Calibri"/>
          <w:sz w:val="22"/>
          <w:szCs w:val="22"/>
          <w:lang w:val="et-EE"/>
        </w:rPr>
        <w:t>power</w:t>
      </w:r>
      <w:proofErr w:type="spellEnd"/>
      <w:r w:rsidRPr="00601995">
        <w:rPr>
          <w:rFonts w:ascii="Verdana" w:eastAsia="Calibri" w:hAnsi="Verdana" w:cs="Calibri"/>
          <w:sz w:val="22"/>
          <w:szCs w:val="22"/>
          <w:lang w:val="et-EE"/>
        </w:rPr>
        <w:t>)</w:t>
      </w:r>
      <w:r w:rsidR="007D769F" w:rsidRPr="00C36BAE">
        <w:rPr>
          <w:rFonts w:ascii="Verdana" w:eastAsia="Calibri" w:hAnsi="Verdana" w:cs="Calibri"/>
          <w:sz w:val="22"/>
          <w:szCs w:val="22"/>
          <w:lang w:val="et-EE"/>
        </w:rPr>
        <w:t xml:space="preserve">; </w:t>
      </w:r>
      <w:r w:rsidRPr="00601995">
        <w:rPr>
          <w:rFonts w:ascii="Verdana" w:eastAsia="Calibri" w:hAnsi="Verdana" w:cs="Calibri"/>
          <w:sz w:val="22"/>
          <w:szCs w:val="22"/>
          <w:lang w:val="et-EE"/>
        </w:rPr>
        <w:t>LNG lahendused</w:t>
      </w:r>
      <w:r w:rsidR="007D769F" w:rsidRPr="00C36BAE">
        <w:rPr>
          <w:rFonts w:ascii="Verdana" w:eastAsia="Calibri" w:hAnsi="Verdana" w:cs="Calibri"/>
          <w:sz w:val="22"/>
          <w:szCs w:val="22"/>
          <w:lang w:val="et-EE"/>
        </w:rPr>
        <w:t>; v</w:t>
      </w:r>
      <w:r w:rsidRPr="00601995">
        <w:rPr>
          <w:rFonts w:ascii="Verdana" w:eastAsia="Calibri" w:hAnsi="Verdana" w:cs="Calibri"/>
          <w:sz w:val="22"/>
          <w:szCs w:val="22"/>
          <w:lang w:val="et-EE"/>
        </w:rPr>
        <w:t>esinikupõhised lahendused</w:t>
      </w:r>
    </w:p>
    <w:p w14:paraId="53202DA6" w14:textId="77777777" w:rsidR="00601995" w:rsidRPr="00601995" w:rsidRDefault="00601995" w:rsidP="00DF6B0F">
      <w:p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601995">
        <w:rPr>
          <w:rFonts w:ascii="Verdana" w:eastAsia="Calibri" w:hAnsi="Verdana" w:cs="Calibri"/>
          <w:sz w:val="22"/>
          <w:szCs w:val="22"/>
          <w:lang w:val="et-EE"/>
        </w:rPr>
        <w:t>Küsimused rühmadele:</w:t>
      </w:r>
    </w:p>
    <w:p w14:paraId="14840E20" w14:textId="77777777" w:rsidR="00601995" w:rsidRPr="00601995" w:rsidRDefault="00601995" w:rsidP="00DF6B0F">
      <w:pPr>
        <w:numPr>
          <w:ilvl w:val="0"/>
          <w:numId w:val="10"/>
        </w:num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601995">
        <w:rPr>
          <w:rFonts w:ascii="Verdana" w:eastAsia="Calibri" w:hAnsi="Verdana" w:cs="Calibri"/>
          <w:sz w:val="22"/>
          <w:szCs w:val="22"/>
          <w:lang w:val="et-EE"/>
        </w:rPr>
        <w:t>Milline lahendus on realistlik 2025? 2030? 2035?</w:t>
      </w:r>
    </w:p>
    <w:p w14:paraId="291EACC8" w14:textId="77777777" w:rsidR="00601995" w:rsidRPr="00601995" w:rsidRDefault="00601995" w:rsidP="00DF6B0F">
      <w:pPr>
        <w:numPr>
          <w:ilvl w:val="0"/>
          <w:numId w:val="10"/>
        </w:num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601995">
        <w:rPr>
          <w:rFonts w:ascii="Verdana" w:eastAsia="Calibri" w:hAnsi="Verdana" w:cs="Calibri"/>
          <w:sz w:val="22"/>
          <w:szCs w:val="22"/>
          <w:lang w:val="et-EE"/>
        </w:rPr>
        <w:t>Milline vähendab riske kõige enam?</w:t>
      </w:r>
    </w:p>
    <w:p w14:paraId="18D72F41" w14:textId="77777777" w:rsidR="00601995" w:rsidRPr="00601995" w:rsidRDefault="00601995" w:rsidP="00DF6B0F">
      <w:pPr>
        <w:numPr>
          <w:ilvl w:val="0"/>
          <w:numId w:val="10"/>
        </w:num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601995">
        <w:rPr>
          <w:rFonts w:ascii="Verdana" w:eastAsia="Calibri" w:hAnsi="Verdana" w:cs="Calibri"/>
          <w:sz w:val="22"/>
          <w:szCs w:val="22"/>
          <w:lang w:val="et-EE"/>
        </w:rPr>
        <w:t>Milline on majanduslikult tasuv?</w:t>
      </w:r>
    </w:p>
    <w:p w14:paraId="123C85BE" w14:textId="77777777" w:rsidR="00601995" w:rsidRPr="00601995" w:rsidRDefault="00601995" w:rsidP="00DF6B0F">
      <w:pPr>
        <w:numPr>
          <w:ilvl w:val="0"/>
          <w:numId w:val="10"/>
        </w:num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601995">
        <w:rPr>
          <w:rFonts w:ascii="Verdana" w:eastAsia="Calibri" w:hAnsi="Verdana" w:cs="Calibri"/>
          <w:sz w:val="22"/>
          <w:szCs w:val="22"/>
          <w:lang w:val="et-EE"/>
        </w:rPr>
        <w:t>Milline toetab sadama konkurentsivõimet?</w:t>
      </w:r>
    </w:p>
    <w:p w14:paraId="62B30BA5" w14:textId="77777777" w:rsidR="00835BAC" w:rsidRPr="002C42F7" w:rsidRDefault="00835BAC" w:rsidP="00DF6B0F">
      <w:p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</w:p>
    <w:p w14:paraId="26CA21E4" w14:textId="35DD5152" w:rsidR="00601995" w:rsidRPr="00601995" w:rsidRDefault="00601995" w:rsidP="00DF6B0F">
      <w:pPr>
        <w:spacing w:after="0" w:line="240" w:lineRule="auto"/>
        <w:jc w:val="both"/>
        <w:rPr>
          <w:rFonts w:ascii="Verdana" w:eastAsia="Calibri" w:hAnsi="Verdana" w:cs="Calibri"/>
          <w:b/>
          <w:bCs/>
          <w:sz w:val="22"/>
          <w:szCs w:val="22"/>
          <w:lang w:val="et-EE"/>
        </w:rPr>
      </w:pPr>
      <w:r w:rsidRPr="00601995">
        <w:rPr>
          <w:rFonts w:ascii="Verdana" w:eastAsia="Calibri" w:hAnsi="Verdana" w:cs="Calibri"/>
          <w:b/>
          <w:bCs/>
          <w:sz w:val="22"/>
          <w:szCs w:val="22"/>
          <w:lang w:val="et-EE"/>
        </w:rPr>
        <w:t>Stsenaariumid (2025–2030–2035)</w:t>
      </w:r>
    </w:p>
    <w:p w14:paraId="3382F89A" w14:textId="64DB6424" w:rsidR="00601995" w:rsidRPr="00601995" w:rsidRDefault="00601995" w:rsidP="00DF6B0F">
      <w:p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601995">
        <w:rPr>
          <w:rFonts w:ascii="Verdana" w:eastAsia="Calibri" w:hAnsi="Verdana" w:cs="Calibri"/>
          <w:sz w:val="22"/>
          <w:szCs w:val="22"/>
          <w:lang w:val="et-EE"/>
        </w:rPr>
        <w:t>Iga rühm koostab kolm stsenaariumi</w:t>
      </w:r>
      <w:r w:rsidR="00835BAC" w:rsidRPr="002C42F7">
        <w:rPr>
          <w:rFonts w:ascii="Verdana" w:eastAsia="Calibri" w:hAnsi="Verdana" w:cs="Calibri"/>
          <w:sz w:val="22"/>
          <w:szCs w:val="22"/>
          <w:lang w:val="et-EE"/>
        </w:rPr>
        <w:t xml:space="preserve"> mida hinnata: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"/>
        <w:gridCol w:w="1957"/>
        <w:gridCol w:w="2060"/>
        <w:gridCol w:w="2351"/>
        <w:gridCol w:w="2191"/>
      </w:tblGrid>
      <w:tr w:rsidR="00601995" w:rsidRPr="00601995" w14:paraId="0847B926" w14:textId="77777777" w:rsidTr="00835BA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287FE71" w14:textId="77777777" w:rsidR="00601995" w:rsidRPr="00601995" w:rsidRDefault="00601995" w:rsidP="00DF6B0F">
            <w:pPr>
              <w:spacing w:after="0" w:line="240" w:lineRule="auto"/>
              <w:jc w:val="both"/>
              <w:rPr>
                <w:rFonts w:ascii="Verdana" w:eastAsia="Calibri" w:hAnsi="Verdana" w:cs="Calibri"/>
                <w:b/>
                <w:bCs/>
                <w:sz w:val="22"/>
                <w:szCs w:val="22"/>
                <w:lang w:val="et-EE"/>
              </w:rPr>
            </w:pPr>
            <w:r w:rsidRPr="00601995">
              <w:rPr>
                <w:rFonts w:ascii="Verdana" w:eastAsia="Calibri" w:hAnsi="Verdana" w:cs="Calibri"/>
                <w:b/>
                <w:bCs/>
                <w:sz w:val="22"/>
                <w:szCs w:val="22"/>
                <w:lang w:val="et-EE"/>
              </w:rPr>
              <w:t>Aasta</w:t>
            </w:r>
          </w:p>
        </w:tc>
        <w:tc>
          <w:tcPr>
            <w:tcW w:w="0" w:type="auto"/>
            <w:vAlign w:val="center"/>
            <w:hideMark/>
          </w:tcPr>
          <w:p w14:paraId="76390E5D" w14:textId="77777777" w:rsidR="00601995" w:rsidRPr="00601995" w:rsidRDefault="00601995" w:rsidP="00DF6B0F">
            <w:pPr>
              <w:spacing w:after="0" w:line="240" w:lineRule="auto"/>
              <w:jc w:val="both"/>
              <w:rPr>
                <w:rFonts w:ascii="Verdana" w:eastAsia="Calibri" w:hAnsi="Verdana" w:cs="Calibri"/>
                <w:b/>
                <w:bCs/>
                <w:sz w:val="22"/>
                <w:szCs w:val="22"/>
                <w:lang w:val="et-EE"/>
              </w:rPr>
            </w:pPr>
            <w:r w:rsidRPr="00601995">
              <w:rPr>
                <w:rFonts w:ascii="Verdana" w:eastAsia="Calibri" w:hAnsi="Verdana" w:cs="Calibri"/>
                <w:b/>
                <w:bCs/>
                <w:sz w:val="22"/>
                <w:szCs w:val="22"/>
                <w:lang w:val="et-EE"/>
              </w:rPr>
              <w:t>Stsenaarium</w:t>
            </w:r>
          </w:p>
        </w:tc>
        <w:tc>
          <w:tcPr>
            <w:tcW w:w="0" w:type="auto"/>
            <w:vAlign w:val="center"/>
            <w:hideMark/>
          </w:tcPr>
          <w:p w14:paraId="05E8F369" w14:textId="77777777" w:rsidR="00601995" w:rsidRPr="00601995" w:rsidRDefault="00601995" w:rsidP="00DF6B0F">
            <w:pPr>
              <w:spacing w:after="0" w:line="240" w:lineRule="auto"/>
              <w:jc w:val="both"/>
              <w:rPr>
                <w:rFonts w:ascii="Verdana" w:eastAsia="Calibri" w:hAnsi="Verdana" w:cs="Calibri"/>
                <w:b/>
                <w:bCs/>
                <w:sz w:val="22"/>
                <w:szCs w:val="22"/>
                <w:lang w:val="et-EE"/>
              </w:rPr>
            </w:pPr>
            <w:r w:rsidRPr="00601995">
              <w:rPr>
                <w:rFonts w:ascii="Verdana" w:eastAsia="Calibri" w:hAnsi="Verdana" w:cs="Calibri"/>
                <w:b/>
                <w:bCs/>
                <w:sz w:val="22"/>
                <w:szCs w:val="22"/>
                <w:lang w:val="et-EE"/>
              </w:rPr>
              <w:t>Sadama positsioon</w:t>
            </w:r>
          </w:p>
        </w:tc>
        <w:tc>
          <w:tcPr>
            <w:tcW w:w="0" w:type="auto"/>
            <w:vAlign w:val="center"/>
            <w:hideMark/>
          </w:tcPr>
          <w:p w14:paraId="54CEACBB" w14:textId="77777777" w:rsidR="00601995" w:rsidRPr="00601995" w:rsidRDefault="00601995" w:rsidP="00DF6B0F">
            <w:pPr>
              <w:spacing w:after="0" w:line="240" w:lineRule="auto"/>
              <w:jc w:val="both"/>
              <w:rPr>
                <w:rFonts w:ascii="Verdana" w:eastAsia="Calibri" w:hAnsi="Verdana" w:cs="Calibri"/>
                <w:b/>
                <w:bCs/>
                <w:sz w:val="22"/>
                <w:szCs w:val="22"/>
                <w:lang w:val="et-EE"/>
              </w:rPr>
            </w:pPr>
            <w:r w:rsidRPr="00601995">
              <w:rPr>
                <w:rFonts w:ascii="Verdana" w:eastAsia="Calibri" w:hAnsi="Verdana" w:cs="Calibri"/>
                <w:b/>
                <w:bCs/>
                <w:sz w:val="22"/>
                <w:szCs w:val="22"/>
                <w:lang w:val="et-EE"/>
              </w:rPr>
              <w:t>Väärtusahela tõhusus</w:t>
            </w:r>
          </w:p>
        </w:tc>
        <w:tc>
          <w:tcPr>
            <w:tcW w:w="0" w:type="auto"/>
            <w:vAlign w:val="center"/>
            <w:hideMark/>
          </w:tcPr>
          <w:p w14:paraId="17C55482" w14:textId="77777777" w:rsidR="00601995" w:rsidRPr="00601995" w:rsidRDefault="00601995" w:rsidP="00DF6B0F">
            <w:pPr>
              <w:spacing w:after="0" w:line="240" w:lineRule="auto"/>
              <w:jc w:val="both"/>
              <w:rPr>
                <w:rFonts w:ascii="Verdana" w:eastAsia="Calibri" w:hAnsi="Verdana" w:cs="Calibri"/>
                <w:b/>
                <w:bCs/>
                <w:sz w:val="22"/>
                <w:szCs w:val="22"/>
                <w:lang w:val="et-EE"/>
              </w:rPr>
            </w:pPr>
            <w:r w:rsidRPr="00601995">
              <w:rPr>
                <w:rFonts w:ascii="Verdana" w:eastAsia="Calibri" w:hAnsi="Verdana" w:cs="Calibri"/>
                <w:b/>
                <w:bCs/>
                <w:sz w:val="22"/>
                <w:szCs w:val="22"/>
                <w:lang w:val="et-EE"/>
              </w:rPr>
              <w:t>Peamised riskid</w:t>
            </w:r>
          </w:p>
        </w:tc>
      </w:tr>
      <w:tr w:rsidR="00601995" w:rsidRPr="00601995" w14:paraId="5C82491B" w14:textId="77777777" w:rsidTr="00835B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96A9F1" w14:textId="77777777" w:rsidR="00601995" w:rsidRPr="00601995" w:rsidRDefault="00601995" w:rsidP="00DF6B0F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2"/>
                <w:szCs w:val="22"/>
                <w:lang w:val="et-EE"/>
              </w:rPr>
            </w:pPr>
            <w:r w:rsidRPr="00601995">
              <w:rPr>
                <w:rFonts w:ascii="Verdana" w:eastAsia="Calibri" w:hAnsi="Verdana" w:cs="Calibri"/>
                <w:sz w:val="22"/>
                <w:szCs w:val="22"/>
                <w:lang w:val="et-EE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14:paraId="290252CD" w14:textId="77777777" w:rsidR="00601995" w:rsidRPr="00601995" w:rsidRDefault="00601995" w:rsidP="00DF6B0F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2"/>
                <w:szCs w:val="22"/>
                <w:lang w:val="et-EE"/>
              </w:rPr>
            </w:pPr>
            <w:r w:rsidRPr="00601995">
              <w:rPr>
                <w:rFonts w:ascii="Verdana" w:eastAsia="Calibri" w:hAnsi="Verdana" w:cs="Calibri"/>
                <w:sz w:val="22"/>
                <w:szCs w:val="22"/>
                <w:lang w:val="et-EE"/>
              </w:rPr>
              <w:t>Aeglane rohepööre</w:t>
            </w:r>
          </w:p>
        </w:tc>
        <w:tc>
          <w:tcPr>
            <w:tcW w:w="0" w:type="auto"/>
            <w:vAlign w:val="center"/>
            <w:hideMark/>
          </w:tcPr>
          <w:p w14:paraId="592F4A8D" w14:textId="77777777" w:rsidR="00601995" w:rsidRPr="00601995" w:rsidRDefault="00601995" w:rsidP="00DF6B0F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2"/>
                <w:szCs w:val="22"/>
                <w:lang w:val="et-EE"/>
              </w:rPr>
            </w:pPr>
            <w:r w:rsidRPr="00601995">
              <w:rPr>
                <w:rFonts w:ascii="Verdana" w:eastAsia="Calibri" w:hAnsi="Verdana" w:cs="Calibri"/>
                <w:sz w:val="22"/>
                <w:szCs w:val="22"/>
                <w:lang w:val="et-EE"/>
              </w:rPr>
              <w:t>Nõrgeneb</w:t>
            </w:r>
          </w:p>
        </w:tc>
        <w:tc>
          <w:tcPr>
            <w:tcW w:w="0" w:type="auto"/>
            <w:vAlign w:val="center"/>
            <w:hideMark/>
          </w:tcPr>
          <w:p w14:paraId="064BF963" w14:textId="77777777" w:rsidR="00601995" w:rsidRPr="00601995" w:rsidRDefault="00601995" w:rsidP="00DF6B0F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2"/>
                <w:szCs w:val="22"/>
                <w:lang w:val="et-EE"/>
              </w:rPr>
            </w:pPr>
            <w:r w:rsidRPr="00601995">
              <w:rPr>
                <w:rFonts w:ascii="Verdana" w:eastAsia="Calibri" w:hAnsi="Verdana" w:cs="Calibri"/>
                <w:sz w:val="22"/>
                <w:szCs w:val="22"/>
                <w:lang w:val="et-EE"/>
              </w:rPr>
              <w:t>Madal</w:t>
            </w:r>
          </w:p>
        </w:tc>
        <w:tc>
          <w:tcPr>
            <w:tcW w:w="0" w:type="auto"/>
            <w:vAlign w:val="center"/>
            <w:hideMark/>
          </w:tcPr>
          <w:p w14:paraId="2BAB0F9A" w14:textId="77777777" w:rsidR="00601995" w:rsidRPr="00601995" w:rsidRDefault="00601995" w:rsidP="00DF6B0F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2"/>
                <w:szCs w:val="22"/>
                <w:lang w:val="et-EE"/>
              </w:rPr>
            </w:pPr>
            <w:r w:rsidRPr="00601995">
              <w:rPr>
                <w:rFonts w:ascii="Verdana" w:eastAsia="Calibri" w:hAnsi="Verdana" w:cs="Calibri"/>
                <w:sz w:val="22"/>
                <w:szCs w:val="22"/>
                <w:lang w:val="et-EE"/>
              </w:rPr>
              <w:t>Regulatiivsed trahvid</w:t>
            </w:r>
          </w:p>
        </w:tc>
      </w:tr>
      <w:tr w:rsidR="00601995" w:rsidRPr="00601995" w14:paraId="2A019B11" w14:textId="77777777" w:rsidTr="00835B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3B7990" w14:textId="77777777" w:rsidR="00601995" w:rsidRPr="00601995" w:rsidRDefault="00601995" w:rsidP="00DF6B0F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2"/>
                <w:szCs w:val="22"/>
                <w:lang w:val="et-EE"/>
              </w:rPr>
            </w:pPr>
            <w:r w:rsidRPr="00601995">
              <w:rPr>
                <w:rFonts w:ascii="Verdana" w:eastAsia="Calibri" w:hAnsi="Verdana" w:cs="Calibri"/>
                <w:sz w:val="22"/>
                <w:szCs w:val="22"/>
                <w:lang w:val="et-EE"/>
              </w:rPr>
              <w:t>2030</w:t>
            </w:r>
          </w:p>
        </w:tc>
        <w:tc>
          <w:tcPr>
            <w:tcW w:w="0" w:type="auto"/>
            <w:vAlign w:val="center"/>
            <w:hideMark/>
          </w:tcPr>
          <w:p w14:paraId="3DB33A3E" w14:textId="77777777" w:rsidR="00601995" w:rsidRPr="00601995" w:rsidRDefault="00601995" w:rsidP="00DF6B0F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2"/>
                <w:szCs w:val="22"/>
                <w:lang w:val="et-EE"/>
              </w:rPr>
            </w:pPr>
            <w:r w:rsidRPr="00601995">
              <w:rPr>
                <w:rFonts w:ascii="Verdana" w:eastAsia="Calibri" w:hAnsi="Verdana" w:cs="Calibri"/>
                <w:sz w:val="22"/>
                <w:szCs w:val="22"/>
                <w:lang w:val="et-EE"/>
              </w:rPr>
              <w:t>Keskmine tempo</w:t>
            </w:r>
          </w:p>
        </w:tc>
        <w:tc>
          <w:tcPr>
            <w:tcW w:w="0" w:type="auto"/>
            <w:vAlign w:val="center"/>
            <w:hideMark/>
          </w:tcPr>
          <w:p w14:paraId="1FCE2774" w14:textId="77777777" w:rsidR="00601995" w:rsidRPr="00601995" w:rsidRDefault="00601995" w:rsidP="00DF6B0F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2"/>
                <w:szCs w:val="22"/>
                <w:lang w:val="et-EE"/>
              </w:rPr>
            </w:pPr>
            <w:r w:rsidRPr="00601995">
              <w:rPr>
                <w:rFonts w:ascii="Verdana" w:eastAsia="Calibri" w:hAnsi="Verdana" w:cs="Calibri"/>
                <w:sz w:val="22"/>
                <w:szCs w:val="22"/>
                <w:lang w:val="et-EE"/>
              </w:rPr>
              <w:t>Stabiliseerub</w:t>
            </w:r>
          </w:p>
        </w:tc>
        <w:tc>
          <w:tcPr>
            <w:tcW w:w="0" w:type="auto"/>
            <w:vAlign w:val="center"/>
            <w:hideMark/>
          </w:tcPr>
          <w:p w14:paraId="42CC5931" w14:textId="77777777" w:rsidR="00601995" w:rsidRPr="00601995" w:rsidRDefault="00601995" w:rsidP="00DF6B0F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2"/>
                <w:szCs w:val="22"/>
                <w:lang w:val="et-EE"/>
              </w:rPr>
            </w:pPr>
            <w:r w:rsidRPr="00601995">
              <w:rPr>
                <w:rFonts w:ascii="Verdana" w:eastAsia="Calibri" w:hAnsi="Verdana" w:cs="Calibri"/>
                <w:sz w:val="22"/>
                <w:szCs w:val="22"/>
                <w:lang w:val="et-EE"/>
              </w:rPr>
              <w:t>Keskmine</w:t>
            </w:r>
          </w:p>
        </w:tc>
        <w:tc>
          <w:tcPr>
            <w:tcW w:w="0" w:type="auto"/>
            <w:vAlign w:val="center"/>
            <w:hideMark/>
          </w:tcPr>
          <w:p w14:paraId="348694A7" w14:textId="77777777" w:rsidR="00601995" w:rsidRPr="00601995" w:rsidRDefault="00601995" w:rsidP="00DF6B0F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2"/>
                <w:szCs w:val="22"/>
                <w:lang w:val="et-EE"/>
              </w:rPr>
            </w:pPr>
            <w:r w:rsidRPr="00601995">
              <w:rPr>
                <w:rFonts w:ascii="Verdana" w:eastAsia="Calibri" w:hAnsi="Verdana" w:cs="Calibri"/>
                <w:sz w:val="22"/>
                <w:szCs w:val="22"/>
                <w:lang w:val="et-EE"/>
              </w:rPr>
              <w:t>Konkurents</w:t>
            </w:r>
          </w:p>
        </w:tc>
      </w:tr>
      <w:tr w:rsidR="00601995" w:rsidRPr="00601995" w14:paraId="16F933DE" w14:textId="77777777" w:rsidTr="00835B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A6B132" w14:textId="77777777" w:rsidR="00601995" w:rsidRPr="00601995" w:rsidRDefault="00601995" w:rsidP="00DF6B0F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2"/>
                <w:szCs w:val="22"/>
                <w:lang w:val="et-EE"/>
              </w:rPr>
            </w:pPr>
            <w:r w:rsidRPr="00601995">
              <w:rPr>
                <w:rFonts w:ascii="Verdana" w:eastAsia="Calibri" w:hAnsi="Verdana" w:cs="Calibri"/>
                <w:sz w:val="22"/>
                <w:szCs w:val="22"/>
                <w:lang w:val="et-EE"/>
              </w:rPr>
              <w:t>2035</w:t>
            </w:r>
          </w:p>
        </w:tc>
        <w:tc>
          <w:tcPr>
            <w:tcW w:w="0" w:type="auto"/>
            <w:vAlign w:val="center"/>
            <w:hideMark/>
          </w:tcPr>
          <w:p w14:paraId="07E892B9" w14:textId="77777777" w:rsidR="00601995" w:rsidRPr="00601995" w:rsidRDefault="00601995" w:rsidP="00DF6B0F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2"/>
                <w:szCs w:val="22"/>
                <w:lang w:val="et-EE"/>
              </w:rPr>
            </w:pPr>
            <w:r w:rsidRPr="00601995">
              <w:rPr>
                <w:rFonts w:ascii="Verdana" w:eastAsia="Calibri" w:hAnsi="Verdana" w:cs="Calibri"/>
                <w:sz w:val="22"/>
                <w:szCs w:val="22"/>
                <w:lang w:val="et-EE"/>
              </w:rPr>
              <w:t>Kiire rohepööre</w:t>
            </w:r>
          </w:p>
        </w:tc>
        <w:tc>
          <w:tcPr>
            <w:tcW w:w="0" w:type="auto"/>
            <w:vAlign w:val="center"/>
            <w:hideMark/>
          </w:tcPr>
          <w:p w14:paraId="00518898" w14:textId="77777777" w:rsidR="00601995" w:rsidRPr="00601995" w:rsidRDefault="00601995" w:rsidP="00DF6B0F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2"/>
                <w:szCs w:val="22"/>
                <w:lang w:val="et-EE"/>
              </w:rPr>
            </w:pPr>
            <w:r w:rsidRPr="00601995">
              <w:rPr>
                <w:rFonts w:ascii="Verdana" w:eastAsia="Calibri" w:hAnsi="Verdana" w:cs="Calibri"/>
                <w:sz w:val="22"/>
                <w:szCs w:val="22"/>
                <w:lang w:val="et-EE"/>
              </w:rPr>
              <w:t>Tugev</w:t>
            </w:r>
          </w:p>
        </w:tc>
        <w:tc>
          <w:tcPr>
            <w:tcW w:w="0" w:type="auto"/>
            <w:vAlign w:val="center"/>
            <w:hideMark/>
          </w:tcPr>
          <w:p w14:paraId="52F1EA56" w14:textId="77777777" w:rsidR="00601995" w:rsidRPr="00601995" w:rsidRDefault="00601995" w:rsidP="00DF6B0F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2"/>
                <w:szCs w:val="22"/>
                <w:lang w:val="et-EE"/>
              </w:rPr>
            </w:pPr>
            <w:r w:rsidRPr="00601995">
              <w:rPr>
                <w:rFonts w:ascii="Verdana" w:eastAsia="Calibri" w:hAnsi="Verdana" w:cs="Calibri"/>
                <w:sz w:val="22"/>
                <w:szCs w:val="22"/>
                <w:lang w:val="et-EE"/>
              </w:rPr>
              <w:t>Kõrge</w:t>
            </w:r>
          </w:p>
        </w:tc>
        <w:tc>
          <w:tcPr>
            <w:tcW w:w="0" w:type="auto"/>
            <w:vAlign w:val="center"/>
            <w:hideMark/>
          </w:tcPr>
          <w:p w14:paraId="25B7CB26" w14:textId="77777777" w:rsidR="00601995" w:rsidRPr="00601995" w:rsidRDefault="00601995" w:rsidP="00DF6B0F">
            <w:pPr>
              <w:spacing w:after="0" w:line="240" w:lineRule="auto"/>
              <w:jc w:val="both"/>
              <w:rPr>
                <w:rFonts w:ascii="Verdana" w:eastAsia="Calibri" w:hAnsi="Verdana" w:cs="Calibri"/>
                <w:sz w:val="22"/>
                <w:szCs w:val="22"/>
                <w:lang w:val="et-EE"/>
              </w:rPr>
            </w:pPr>
            <w:r w:rsidRPr="00601995">
              <w:rPr>
                <w:rFonts w:ascii="Verdana" w:eastAsia="Calibri" w:hAnsi="Verdana" w:cs="Calibri"/>
                <w:sz w:val="22"/>
                <w:szCs w:val="22"/>
                <w:lang w:val="et-EE"/>
              </w:rPr>
              <w:t>Tehnoloogiarisk</w:t>
            </w:r>
          </w:p>
        </w:tc>
      </w:tr>
    </w:tbl>
    <w:p w14:paraId="70A5F62E" w14:textId="77777777" w:rsidR="00835BAC" w:rsidRPr="002C42F7" w:rsidRDefault="00835BAC" w:rsidP="00DF6B0F">
      <w:p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</w:p>
    <w:p w14:paraId="62293AA9" w14:textId="031535E3" w:rsidR="00601995" w:rsidRPr="00601995" w:rsidRDefault="00601995" w:rsidP="00DF6B0F">
      <w:pPr>
        <w:spacing w:after="0" w:line="240" w:lineRule="auto"/>
        <w:jc w:val="both"/>
        <w:rPr>
          <w:rFonts w:ascii="Verdana" w:eastAsia="Calibri" w:hAnsi="Verdana" w:cs="Calibri"/>
          <w:b/>
          <w:bCs/>
          <w:sz w:val="22"/>
          <w:szCs w:val="22"/>
          <w:lang w:val="et-EE"/>
        </w:rPr>
      </w:pPr>
      <w:r w:rsidRPr="00601995">
        <w:rPr>
          <w:rFonts w:ascii="Verdana" w:eastAsia="Calibri" w:hAnsi="Verdana" w:cs="Calibri"/>
          <w:b/>
          <w:bCs/>
          <w:sz w:val="22"/>
          <w:szCs w:val="22"/>
          <w:lang w:val="et-EE"/>
        </w:rPr>
        <w:t>Rühmade esitlus ja arutelu (20–25 min)</w:t>
      </w:r>
    </w:p>
    <w:p w14:paraId="62BC5B41" w14:textId="77777777" w:rsidR="00601995" w:rsidRPr="00601995" w:rsidRDefault="00601995" w:rsidP="00DF6B0F">
      <w:p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601995">
        <w:rPr>
          <w:rFonts w:ascii="Verdana" w:eastAsia="Calibri" w:hAnsi="Verdana" w:cs="Calibri"/>
          <w:sz w:val="22"/>
          <w:szCs w:val="22"/>
          <w:lang w:val="et-EE"/>
        </w:rPr>
        <w:t>Iga rühm esitleb 3–5 min:</w:t>
      </w:r>
    </w:p>
    <w:p w14:paraId="6F05C219" w14:textId="77777777" w:rsidR="00601995" w:rsidRPr="00601995" w:rsidRDefault="00601995" w:rsidP="00DF6B0F">
      <w:pPr>
        <w:numPr>
          <w:ilvl w:val="0"/>
          <w:numId w:val="12"/>
        </w:num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601995">
        <w:rPr>
          <w:rFonts w:ascii="Verdana" w:eastAsia="Calibri" w:hAnsi="Verdana" w:cs="Calibri"/>
          <w:sz w:val="22"/>
          <w:szCs w:val="22"/>
          <w:lang w:val="et-EE"/>
        </w:rPr>
        <w:t>Peamised riskid</w:t>
      </w:r>
    </w:p>
    <w:p w14:paraId="4AF43217" w14:textId="77777777" w:rsidR="00601995" w:rsidRPr="00601995" w:rsidRDefault="00601995" w:rsidP="00DF6B0F">
      <w:pPr>
        <w:numPr>
          <w:ilvl w:val="0"/>
          <w:numId w:val="12"/>
        </w:num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601995">
        <w:rPr>
          <w:rFonts w:ascii="Verdana" w:eastAsia="Calibri" w:hAnsi="Verdana" w:cs="Calibri"/>
          <w:sz w:val="22"/>
          <w:szCs w:val="22"/>
          <w:lang w:val="et-EE"/>
        </w:rPr>
        <w:t>Valitud tehnoloogiline suund</w:t>
      </w:r>
    </w:p>
    <w:p w14:paraId="153283AF" w14:textId="77777777" w:rsidR="00601995" w:rsidRPr="00601995" w:rsidRDefault="00601995" w:rsidP="00DF6B0F">
      <w:pPr>
        <w:numPr>
          <w:ilvl w:val="0"/>
          <w:numId w:val="12"/>
        </w:num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601995">
        <w:rPr>
          <w:rFonts w:ascii="Verdana" w:eastAsia="Calibri" w:hAnsi="Verdana" w:cs="Calibri"/>
          <w:sz w:val="22"/>
          <w:szCs w:val="22"/>
          <w:lang w:val="et-EE"/>
        </w:rPr>
        <w:t>Stsenaariumide järeldused</w:t>
      </w:r>
    </w:p>
    <w:p w14:paraId="0946254A" w14:textId="77777777" w:rsidR="00835BAC" w:rsidRPr="002C42F7" w:rsidRDefault="00835BAC" w:rsidP="00DF6B0F">
      <w:pPr>
        <w:spacing w:after="0" w:line="240" w:lineRule="auto"/>
        <w:jc w:val="both"/>
        <w:rPr>
          <w:rFonts w:ascii="Verdana" w:eastAsia="Calibri" w:hAnsi="Verdana" w:cs="Calibri"/>
          <w:b/>
          <w:bCs/>
          <w:sz w:val="22"/>
          <w:szCs w:val="22"/>
          <w:lang w:val="et-EE"/>
        </w:rPr>
      </w:pPr>
    </w:p>
    <w:p w14:paraId="4DF2968F" w14:textId="5FC0FA10" w:rsidR="00601995" w:rsidRPr="00601995" w:rsidRDefault="00601995" w:rsidP="00DF6B0F">
      <w:p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601995">
        <w:rPr>
          <w:rFonts w:ascii="Verdana" w:eastAsia="Calibri" w:hAnsi="Verdana" w:cs="Calibri"/>
          <w:b/>
          <w:bCs/>
          <w:sz w:val="22"/>
          <w:szCs w:val="22"/>
          <w:lang w:val="et-EE"/>
        </w:rPr>
        <w:t>Õppejõu juhtivad küsimused:</w:t>
      </w:r>
    </w:p>
    <w:p w14:paraId="5EC697C0" w14:textId="77777777" w:rsidR="00DF6B0F" w:rsidRPr="00DF6B0F" w:rsidRDefault="00DF6B0F" w:rsidP="00DF6B0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DF6B0F">
        <w:rPr>
          <w:rFonts w:ascii="Verdana" w:eastAsia="Calibri" w:hAnsi="Verdana" w:cs="Calibri"/>
          <w:sz w:val="22"/>
          <w:szCs w:val="22"/>
          <w:lang w:val="et-EE"/>
        </w:rPr>
        <w:t>Kui peaksite valima ühe peamise riski, mida sadam peab esimesena maandama – millise valiksite ja miks?</w:t>
      </w:r>
    </w:p>
    <w:p w14:paraId="03B89B30" w14:textId="77777777" w:rsidR="00DF6B0F" w:rsidRPr="00DF6B0F" w:rsidRDefault="00DF6B0F" w:rsidP="00DF6B0F">
      <w:p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</w:p>
    <w:p w14:paraId="3F7D36DF" w14:textId="05CE8A04" w:rsidR="00DF6B0F" w:rsidRPr="00212BF8" w:rsidRDefault="00DF6B0F" w:rsidP="00DF6B0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DF6B0F">
        <w:rPr>
          <w:rFonts w:ascii="Verdana" w:eastAsia="Calibri" w:hAnsi="Verdana" w:cs="Calibri"/>
          <w:sz w:val="22"/>
          <w:szCs w:val="22"/>
          <w:lang w:val="et-EE"/>
        </w:rPr>
        <w:lastRenderedPageBreak/>
        <w:t>Milline risk on teie hinnangul kõige alahinnatum, kuid strateegiliselt kõige ohtlikum? Põhjendage.</w:t>
      </w:r>
    </w:p>
    <w:p w14:paraId="6CF11A7C" w14:textId="5608A6A6" w:rsidR="00DF6B0F" w:rsidRPr="00212BF8" w:rsidRDefault="00DF6B0F" w:rsidP="00DF6B0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DF6B0F">
        <w:rPr>
          <w:rFonts w:ascii="Verdana" w:eastAsia="Calibri" w:hAnsi="Verdana" w:cs="Calibri"/>
          <w:sz w:val="22"/>
          <w:szCs w:val="22"/>
          <w:lang w:val="et-EE"/>
        </w:rPr>
        <w:t>Millises olukorras oleks riskantsem mitte investeerida kui investeerida rohetehnoloogiatesse?</w:t>
      </w:r>
    </w:p>
    <w:p w14:paraId="15273442" w14:textId="210FCB86" w:rsidR="00DF6B0F" w:rsidRPr="00212BF8" w:rsidRDefault="00DF6B0F" w:rsidP="00DF6B0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DF6B0F">
        <w:rPr>
          <w:rFonts w:ascii="Verdana" w:eastAsia="Calibri" w:hAnsi="Verdana" w:cs="Calibri"/>
          <w:sz w:val="22"/>
          <w:szCs w:val="22"/>
          <w:lang w:val="et-EE"/>
        </w:rPr>
        <w:t>Kui regulatsioonid karmistuvad kiiremini kui tehnoloogia areneb, kuidas peaks sadam käituma?</w:t>
      </w:r>
    </w:p>
    <w:p w14:paraId="28220935" w14:textId="67B881B3" w:rsidR="00DF6B0F" w:rsidRPr="00212BF8" w:rsidRDefault="00DF6B0F" w:rsidP="00DF6B0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DF6B0F">
        <w:rPr>
          <w:rFonts w:ascii="Verdana" w:eastAsia="Calibri" w:hAnsi="Verdana" w:cs="Calibri"/>
          <w:sz w:val="22"/>
          <w:szCs w:val="22"/>
          <w:lang w:val="et-EE"/>
        </w:rPr>
        <w:t>Piiratud eelarve korral – kas investeeriksite pigem kaldavoolu, vesinikku või digilahendustesse? Miks?</w:t>
      </w:r>
    </w:p>
    <w:p w14:paraId="60804D03" w14:textId="1D0D0471" w:rsidR="00DF6B0F" w:rsidRPr="00212BF8" w:rsidRDefault="00DF6B0F" w:rsidP="00DF6B0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DF6B0F">
        <w:rPr>
          <w:rFonts w:ascii="Verdana" w:eastAsia="Calibri" w:hAnsi="Verdana" w:cs="Calibri"/>
          <w:sz w:val="22"/>
          <w:szCs w:val="22"/>
          <w:lang w:val="et-EE"/>
        </w:rPr>
        <w:t>Kas LNG on rohepöördes „sild“ või „lõks“? Kaitske oma seisukohta.</w:t>
      </w:r>
    </w:p>
    <w:p w14:paraId="5B832EDF" w14:textId="72A2141C" w:rsidR="00DF6B0F" w:rsidRPr="00212BF8" w:rsidRDefault="00DF6B0F" w:rsidP="00DF6B0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DF6B0F">
        <w:rPr>
          <w:rFonts w:ascii="Verdana" w:eastAsia="Calibri" w:hAnsi="Verdana" w:cs="Calibri"/>
          <w:sz w:val="22"/>
          <w:szCs w:val="22"/>
          <w:lang w:val="et-EE"/>
        </w:rPr>
        <w:t>Milline tehnoloogiline valik annaks sadamale suurima konkurentsieelise pikemas perspektiivis?</w:t>
      </w:r>
    </w:p>
    <w:p w14:paraId="5D2ED8B2" w14:textId="69375F42" w:rsidR="00DF6B0F" w:rsidRPr="00212BF8" w:rsidRDefault="00DF6B0F" w:rsidP="00DF6B0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DF6B0F">
        <w:rPr>
          <w:rFonts w:ascii="Verdana" w:eastAsia="Calibri" w:hAnsi="Verdana" w:cs="Calibri"/>
          <w:sz w:val="22"/>
          <w:szCs w:val="22"/>
          <w:lang w:val="et-EE"/>
        </w:rPr>
        <w:t>Kes peaks kandma rohepöörde kulud – sadam, laevandusettevõtted, riik või tarbija? Miks?</w:t>
      </w:r>
    </w:p>
    <w:p w14:paraId="3E7FA273" w14:textId="31EC4539" w:rsidR="00DF6B0F" w:rsidRPr="00212BF8" w:rsidRDefault="00DF6B0F" w:rsidP="00DF6B0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DF6B0F">
        <w:rPr>
          <w:rFonts w:ascii="Verdana" w:eastAsia="Calibri" w:hAnsi="Verdana" w:cs="Calibri"/>
          <w:sz w:val="22"/>
          <w:szCs w:val="22"/>
          <w:lang w:val="et-EE"/>
        </w:rPr>
        <w:t>Kuidas peaks sadam reageerima, kui osa väärtusahela partneritest liigub rohepöördega oluliselt aeglasemalt?</w:t>
      </w:r>
    </w:p>
    <w:p w14:paraId="14C16BF0" w14:textId="3C61849D" w:rsidR="00DF6B0F" w:rsidRPr="00212BF8" w:rsidRDefault="00DF6B0F" w:rsidP="00DF6B0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DF6B0F">
        <w:rPr>
          <w:rFonts w:ascii="Verdana" w:eastAsia="Calibri" w:hAnsi="Verdana" w:cs="Calibri"/>
          <w:sz w:val="22"/>
          <w:szCs w:val="22"/>
          <w:lang w:val="et-EE"/>
        </w:rPr>
        <w:t>Kas rohetasuvus on teie arvates pigem kulu või strateegiline investeering?</w:t>
      </w:r>
    </w:p>
    <w:p w14:paraId="24A3B123" w14:textId="6CB4507B" w:rsidR="00DF6B0F" w:rsidRPr="00212BF8" w:rsidRDefault="00DF6B0F" w:rsidP="00DF6B0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DF6B0F">
        <w:rPr>
          <w:rFonts w:ascii="Verdana" w:eastAsia="Calibri" w:hAnsi="Verdana" w:cs="Calibri"/>
          <w:sz w:val="22"/>
          <w:szCs w:val="22"/>
          <w:lang w:val="et-EE"/>
        </w:rPr>
        <w:t>Kui roheinvesteering ei tasu ära lühiajaliselt, kas seda peaks siiski tegema? Millistel tingimustel?</w:t>
      </w:r>
    </w:p>
    <w:p w14:paraId="47AC8CFD" w14:textId="3131D47C" w:rsidR="00DF6B0F" w:rsidRPr="00212BF8" w:rsidRDefault="00DF6B0F" w:rsidP="00DF6B0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DF6B0F">
        <w:rPr>
          <w:rFonts w:ascii="Verdana" w:eastAsia="Calibri" w:hAnsi="Verdana" w:cs="Calibri"/>
          <w:sz w:val="22"/>
          <w:szCs w:val="22"/>
          <w:lang w:val="et-EE"/>
        </w:rPr>
        <w:t>Milline otsustusnäitaja on teie arvates kõige olulisem: NPV, B/C suhe või riskimaatriks – ja miks?</w:t>
      </w:r>
    </w:p>
    <w:p w14:paraId="25C97EBF" w14:textId="75FDACE8" w:rsidR="00DF6B0F" w:rsidRPr="00212BF8" w:rsidRDefault="00DF6B0F" w:rsidP="00DF6B0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DF6B0F">
        <w:rPr>
          <w:rFonts w:ascii="Verdana" w:eastAsia="Calibri" w:hAnsi="Verdana" w:cs="Calibri"/>
          <w:sz w:val="22"/>
          <w:szCs w:val="22"/>
          <w:lang w:val="et-EE"/>
        </w:rPr>
        <w:t>Millised otsused aastaks 2025 määravad kõige rohkem ära sadama positsiooni aastal 2035?</w:t>
      </w:r>
    </w:p>
    <w:p w14:paraId="105665BF" w14:textId="0AF3AC0A" w:rsidR="00DF6B0F" w:rsidRPr="00212BF8" w:rsidRDefault="00DF6B0F" w:rsidP="00DF6B0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DF6B0F">
        <w:rPr>
          <w:rFonts w:ascii="Verdana" w:eastAsia="Calibri" w:hAnsi="Verdana" w:cs="Calibri"/>
          <w:sz w:val="22"/>
          <w:szCs w:val="22"/>
          <w:lang w:val="et-EE"/>
        </w:rPr>
        <w:t>Kuidas saaks sadam rakendada ringmajanduse põhimõtteid (energia, jäätmed, materjalid) oma igapäevases tegevuses?</w:t>
      </w:r>
    </w:p>
    <w:p w14:paraId="50B91C81" w14:textId="5D8A0369" w:rsidR="00804526" w:rsidRDefault="00DF6B0F" w:rsidP="00DF6B0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DF6B0F">
        <w:rPr>
          <w:rFonts w:ascii="Verdana" w:eastAsia="Calibri" w:hAnsi="Verdana" w:cs="Calibri"/>
          <w:sz w:val="22"/>
          <w:szCs w:val="22"/>
          <w:lang w:val="et-EE"/>
        </w:rPr>
        <w:t>Kas sadam peaks olema vaid regulatsioonide täitja või aktiivne rohepöörde eestvedaja piirkonnas? Põhjendage.</w:t>
      </w:r>
    </w:p>
    <w:p w14:paraId="3262411C" w14:textId="77777777" w:rsidR="00DF6B0F" w:rsidRPr="00DF6B0F" w:rsidRDefault="00DF6B0F" w:rsidP="00DF6B0F">
      <w:p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</w:p>
    <w:p w14:paraId="477FCA6B" w14:textId="502C56F0" w:rsidR="00601995" w:rsidRPr="00601995" w:rsidRDefault="00601995" w:rsidP="00DF6B0F">
      <w:pPr>
        <w:spacing w:after="0" w:line="240" w:lineRule="auto"/>
        <w:jc w:val="both"/>
        <w:rPr>
          <w:rFonts w:ascii="Verdana" w:eastAsia="Calibri" w:hAnsi="Verdana" w:cs="Calibri"/>
          <w:b/>
          <w:bCs/>
          <w:sz w:val="22"/>
          <w:szCs w:val="22"/>
          <w:lang w:val="et-EE"/>
        </w:rPr>
      </w:pPr>
      <w:r w:rsidRPr="00601995">
        <w:rPr>
          <w:rFonts w:ascii="Verdana" w:eastAsia="Calibri" w:hAnsi="Verdana" w:cs="Calibri"/>
          <w:b/>
          <w:bCs/>
          <w:sz w:val="22"/>
          <w:szCs w:val="22"/>
          <w:lang w:val="et-EE"/>
        </w:rPr>
        <w:t>Võimalikud laiendused (järgmine tund / lisatöö)</w:t>
      </w:r>
    </w:p>
    <w:p w14:paraId="0C8557BF" w14:textId="77777777" w:rsidR="00601995" w:rsidRPr="00601995" w:rsidRDefault="00601995" w:rsidP="00DF6B0F">
      <w:pPr>
        <w:numPr>
          <w:ilvl w:val="0"/>
          <w:numId w:val="15"/>
        </w:num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601995">
        <w:rPr>
          <w:rFonts w:ascii="Verdana" w:eastAsia="Calibri" w:hAnsi="Verdana" w:cs="Calibri"/>
          <w:b/>
          <w:bCs/>
          <w:sz w:val="22"/>
          <w:szCs w:val="22"/>
          <w:lang w:val="et-EE"/>
        </w:rPr>
        <w:t>Kirjalik miniraport (3–5 lk):</w:t>
      </w:r>
    </w:p>
    <w:p w14:paraId="7283EAF0" w14:textId="77777777" w:rsidR="00601995" w:rsidRPr="00601995" w:rsidRDefault="00601995" w:rsidP="00DF6B0F">
      <w:pPr>
        <w:numPr>
          <w:ilvl w:val="1"/>
          <w:numId w:val="15"/>
        </w:num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601995">
        <w:rPr>
          <w:rFonts w:ascii="Verdana" w:eastAsia="Calibri" w:hAnsi="Verdana" w:cs="Calibri"/>
          <w:sz w:val="22"/>
          <w:szCs w:val="22"/>
          <w:lang w:val="et-EE"/>
        </w:rPr>
        <w:t>Riskikaart</w:t>
      </w:r>
    </w:p>
    <w:p w14:paraId="49D8EE00" w14:textId="77777777" w:rsidR="00601995" w:rsidRPr="00601995" w:rsidRDefault="00601995" w:rsidP="00DF6B0F">
      <w:pPr>
        <w:numPr>
          <w:ilvl w:val="1"/>
          <w:numId w:val="15"/>
        </w:num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601995">
        <w:rPr>
          <w:rFonts w:ascii="Verdana" w:eastAsia="Calibri" w:hAnsi="Verdana" w:cs="Calibri"/>
          <w:sz w:val="22"/>
          <w:szCs w:val="22"/>
          <w:lang w:val="et-EE"/>
        </w:rPr>
        <w:t>Valitud tehnoloogia põhjendus</w:t>
      </w:r>
    </w:p>
    <w:p w14:paraId="222F56BC" w14:textId="77777777" w:rsidR="00601995" w:rsidRPr="00601995" w:rsidRDefault="00601995" w:rsidP="00DF6B0F">
      <w:pPr>
        <w:numPr>
          <w:ilvl w:val="1"/>
          <w:numId w:val="15"/>
        </w:num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601995">
        <w:rPr>
          <w:rFonts w:ascii="Verdana" w:eastAsia="Calibri" w:hAnsi="Verdana" w:cs="Calibri"/>
          <w:sz w:val="22"/>
          <w:szCs w:val="22"/>
          <w:lang w:val="et-EE"/>
        </w:rPr>
        <w:t>2035 strateegia</w:t>
      </w:r>
    </w:p>
    <w:p w14:paraId="0D1F30E2" w14:textId="5709D7B9" w:rsidR="00601995" w:rsidRPr="00601995" w:rsidRDefault="002C42F7" w:rsidP="00DF6B0F">
      <w:pPr>
        <w:numPr>
          <w:ilvl w:val="0"/>
          <w:numId w:val="15"/>
        </w:num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2C42F7">
        <w:rPr>
          <w:rFonts w:ascii="Verdana" w:eastAsia="Calibri" w:hAnsi="Verdana" w:cs="Calibri"/>
          <w:b/>
          <w:bCs/>
          <w:sz w:val="22"/>
          <w:szCs w:val="22"/>
          <w:lang w:val="et-EE"/>
        </w:rPr>
        <w:t>S</w:t>
      </w:r>
      <w:r w:rsidR="00601995" w:rsidRPr="00601995">
        <w:rPr>
          <w:rFonts w:ascii="Verdana" w:eastAsia="Calibri" w:hAnsi="Verdana" w:cs="Calibri"/>
          <w:b/>
          <w:bCs/>
          <w:sz w:val="22"/>
          <w:szCs w:val="22"/>
          <w:lang w:val="et-EE"/>
        </w:rPr>
        <w:t>imulatsioon:</w:t>
      </w:r>
    </w:p>
    <w:p w14:paraId="00A305A1" w14:textId="77777777" w:rsidR="00601995" w:rsidRPr="00601995" w:rsidRDefault="00601995" w:rsidP="00DF6B0F">
      <w:pPr>
        <w:numPr>
          <w:ilvl w:val="1"/>
          <w:numId w:val="15"/>
        </w:num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601995">
        <w:rPr>
          <w:rFonts w:ascii="Verdana" w:eastAsia="Calibri" w:hAnsi="Verdana" w:cs="Calibri"/>
          <w:sz w:val="22"/>
          <w:szCs w:val="22"/>
          <w:lang w:val="et-EE"/>
        </w:rPr>
        <w:t>Tudengid saavad „eelarve“ ja peavad valima investeeringud.</w:t>
      </w:r>
    </w:p>
    <w:p w14:paraId="08597EB0" w14:textId="24657BB1" w:rsidR="00601995" w:rsidRPr="00815724" w:rsidRDefault="00601995" w:rsidP="00DF6B0F">
      <w:pPr>
        <w:numPr>
          <w:ilvl w:val="0"/>
          <w:numId w:val="15"/>
        </w:num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601995">
        <w:rPr>
          <w:rFonts w:ascii="Verdana" w:eastAsia="Calibri" w:hAnsi="Verdana" w:cs="Calibri"/>
          <w:b/>
          <w:bCs/>
          <w:sz w:val="22"/>
          <w:szCs w:val="22"/>
          <w:lang w:val="et-EE"/>
        </w:rPr>
        <w:t>Võrdlus teise sadamaga (nt Rotterdam või Hamburg).</w:t>
      </w:r>
    </w:p>
    <w:p w14:paraId="7C4A123E" w14:textId="77777777" w:rsidR="00815724" w:rsidRDefault="00815724" w:rsidP="00DF6B0F">
      <w:pPr>
        <w:spacing w:after="0" w:line="240" w:lineRule="auto"/>
        <w:jc w:val="both"/>
        <w:rPr>
          <w:rFonts w:ascii="Verdana" w:eastAsia="Calibri" w:hAnsi="Verdana" w:cs="Calibri"/>
          <w:b/>
          <w:bCs/>
          <w:sz w:val="22"/>
          <w:szCs w:val="22"/>
          <w:lang w:val="et-EE"/>
        </w:rPr>
      </w:pPr>
    </w:p>
    <w:p w14:paraId="510DABEC" w14:textId="77777777" w:rsidR="00815724" w:rsidRPr="002C42F7" w:rsidRDefault="00815724" w:rsidP="00DF6B0F">
      <w:pPr>
        <w:pStyle w:val="Heading3"/>
        <w:keepNext w:val="0"/>
        <w:keepLines w:val="0"/>
        <w:spacing w:before="0" w:after="0" w:line="240" w:lineRule="auto"/>
        <w:jc w:val="both"/>
        <w:rPr>
          <w:rFonts w:ascii="Verdana" w:eastAsia="Calibri" w:hAnsi="Verdana" w:cs="Calibri"/>
          <w:b/>
          <w:bCs/>
          <w:color w:val="auto"/>
          <w:sz w:val="22"/>
          <w:szCs w:val="22"/>
          <w:lang w:val="et-EE"/>
        </w:rPr>
      </w:pPr>
      <w:r w:rsidRPr="002C42F7">
        <w:rPr>
          <w:rFonts w:ascii="Verdana" w:eastAsia="Calibri" w:hAnsi="Verdana" w:cs="Calibri"/>
          <w:b/>
          <w:bCs/>
          <w:color w:val="auto"/>
          <w:sz w:val="22"/>
          <w:szCs w:val="22"/>
          <w:lang w:val="et-EE"/>
        </w:rPr>
        <w:t>Soovituslik kirjandus</w:t>
      </w:r>
    </w:p>
    <w:p w14:paraId="14896B42" w14:textId="77777777" w:rsidR="00815724" w:rsidRPr="002C42F7" w:rsidRDefault="00815724" w:rsidP="00DF6B0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proofErr w:type="spellStart"/>
      <w:r w:rsidRPr="002C42F7">
        <w:rPr>
          <w:rFonts w:ascii="Verdana" w:eastAsia="Calibri" w:hAnsi="Verdana" w:cs="Calibri"/>
          <w:sz w:val="22"/>
          <w:szCs w:val="22"/>
          <w:lang w:val="et-EE"/>
        </w:rPr>
        <w:t>European</w:t>
      </w:r>
      <w:proofErr w:type="spellEnd"/>
      <w:r w:rsidRPr="002C42F7">
        <w:rPr>
          <w:rFonts w:ascii="Verdana" w:eastAsia="Calibri" w:hAnsi="Verdana" w:cs="Calibri"/>
          <w:sz w:val="22"/>
          <w:szCs w:val="22"/>
          <w:lang w:val="et-EE"/>
        </w:rPr>
        <w:t xml:space="preserve"> </w:t>
      </w:r>
      <w:proofErr w:type="spellStart"/>
      <w:r w:rsidRPr="002C42F7">
        <w:rPr>
          <w:rFonts w:ascii="Verdana" w:eastAsia="Calibri" w:hAnsi="Verdana" w:cs="Calibri"/>
          <w:sz w:val="22"/>
          <w:szCs w:val="22"/>
          <w:lang w:val="et-EE"/>
        </w:rPr>
        <w:t>Commission</w:t>
      </w:r>
      <w:proofErr w:type="spellEnd"/>
      <w:r w:rsidRPr="002C42F7">
        <w:rPr>
          <w:rFonts w:ascii="Verdana" w:eastAsia="Calibri" w:hAnsi="Verdana" w:cs="Calibri"/>
          <w:sz w:val="22"/>
          <w:szCs w:val="22"/>
          <w:lang w:val="et-EE"/>
        </w:rPr>
        <w:t xml:space="preserve">. (2019b). </w:t>
      </w:r>
      <w:r w:rsidRPr="002C42F7">
        <w:rPr>
          <w:rFonts w:ascii="Verdana" w:eastAsia="Calibri" w:hAnsi="Verdana" w:cs="Calibri"/>
          <w:i/>
          <w:iCs/>
          <w:sz w:val="22"/>
          <w:szCs w:val="22"/>
          <w:lang w:val="et-EE"/>
        </w:rPr>
        <w:t xml:space="preserve">The </w:t>
      </w:r>
      <w:proofErr w:type="spellStart"/>
      <w:r w:rsidRPr="002C42F7">
        <w:rPr>
          <w:rFonts w:ascii="Verdana" w:eastAsia="Calibri" w:hAnsi="Verdana" w:cs="Calibri"/>
          <w:i/>
          <w:iCs/>
          <w:sz w:val="22"/>
          <w:szCs w:val="22"/>
          <w:lang w:val="et-EE"/>
        </w:rPr>
        <w:t>European</w:t>
      </w:r>
      <w:proofErr w:type="spellEnd"/>
      <w:r w:rsidRPr="002C42F7">
        <w:rPr>
          <w:rFonts w:ascii="Verdana" w:eastAsia="Calibri" w:hAnsi="Verdana" w:cs="Calibri"/>
          <w:i/>
          <w:iCs/>
          <w:sz w:val="22"/>
          <w:szCs w:val="22"/>
          <w:lang w:val="et-EE"/>
        </w:rPr>
        <w:t xml:space="preserve"> Green Deal</w:t>
      </w:r>
      <w:r w:rsidRPr="002C42F7">
        <w:rPr>
          <w:rFonts w:ascii="Verdana" w:eastAsia="Calibri" w:hAnsi="Verdana" w:cs="Calibri"/>
          <w:sz w:val="22"/>
          <w:szCs w:val="22"/>
          <w:lang w:val="et-EE"/>
        </w:rPr>
        <w:t xml:space="preserve"> (COM(2019) 640 </w:t>
      </w:r>
      <w:proofErr w:type="spellStart"/>
      <w:r w:rsidRPr="002C42F7">
        <w:rPr>
          <w:rFonts w:ascii="Verdana" w:eastAsia="Calibri" w:hAnsi="Verdana" w:cs="Calibri"/>
          <w:sz w:val="22"/>
          <w:szCs w:val="22"/>
          <w:lang w:val="et-EE"/>
        </w:rPr>
        <w:t>final</w:t>
      </w:r>
      <w:proofErr w:type="spellEnd"/>
      <w:r w:rsidRPr="002C42F7">
        <w:rPr>
          <w:rFonts w:ascii="Verdana" w:eastAsia="Calibri" w:hAnsi="Verdana" w:cs="Calibri"/>
          <w:sz w:val="22"/>
          <w:szCs w:val="22"/>
          <w:lang w:val="et-EE"/>
        </w:rPr>
        <w:t xml:space="preserve">). </w:t>
      </w:r>
      <w:proofErr w:type="spellStart"/>
      <w:r w:rsidRPr="002C42F7">
        <w:rPr>
          <w:rFonts w:ascii="Verdana" w:eastAsia="Calibri" w:hAnsi="Verdana" w:cs="Calibri"/>
          <w:sz w:val="22"/>
          <w:szCs w:val="22"/>
          <w:lang w:val="et-EE"/>
        </w:rPr>
        <w:t>European</w:t>
      </w:r>
      <w:proofErr w:type="spellEnd"/>
      <w:r w:rsidRPr="002C42F7">
        <w:rPr>
          <w:rFonts w:ascii="Verdana" w:eastAsia="Calibri" w:hAnsi="Verdana" w:cs="Calibri"/>
          <w:sz w:val="22"/>
          <w:szCs w:val="22"/>
          <w:lang w:val="et-EE"/>
        </w:rPr>
        <w:t xml:space="preserve"> </w:t>
      </w:r>
      <w:proofErr w:type="spellStart"/>
      <w:r w:rsidRPr="002C42F7">
        <w:rPr>
          <w:rFonts w:ascii="Verdana" w:eastAsia="Calibri" w:hAnsi="Verdana" w:cs="Calibri"/>
          <w:sz w:val="22"/>
          <w:szCs w:val="22"/>
          <w:lang w:val="et-EE"/>
        </w:rPr>
        <w:t>Commission</w:t>
      </w:r>
      <w:proofErr w:type="spellEnd"/>
      <w:r w:rsidRPr="002C42F7">
        <w:rPr>
          <w:rFonts w:ascii="Verdana" w:eastAsia="Calibri" w:hAnsi="Verdana" w:cs="Calibri"/>
          <w:sz w:val="22"/>
          <w:szCs w:val="22"/>
          <w:lang w:val="et-EE"/>
        </w:rPr>
        <w:t xml:space="preserve">. </w:t>
      </w:r>
      <w:hyperlink r:id="rId7">
        <w:r w:rsidRPr="002C42F7">
          <w:rPr>
            <w:rStyle w:val="Hyperlink"/>
            <w:rFonts w:ascii="Verdana" w:eastAsia="Calibri" w:hAnsi="Verdana" w:cs="Calibri"/>
            <w:color w:val="auto"/>
            <w:sz w:val="22"/>
            <w:szCs w:val="22"/>
            <w:lang w:val="et-EE"/>
          </w:rPr>
          <w:t>https://eur-lex.europa.eu/legal-content/EN/TXT/?uri=CELEX:52019DC0640</w:t>
        </w:r>
      </w:hyperlink>
    </w:p>
    <w:p w14:paraId="76E47361" w14:textId="77777777" w:rsidR="00815724" w:rsidRPr="002C42F7" w:rsidRDefault="00815724" w:rsidP="00DF6B0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proofErr w:type="spellStart"/>
      <w:r w:rsidRPr="002C42F7">
        <w:rPr>
          <w:rFonts w:ascii="Verdana" w:eastAsia="Calibri" w:hAnsi="Verdana" w:cs="Calibri"/>
          <w:sz w:val="22"/>
          <w:szCs w:val="22"/>
          <w:lang w:val="et-EE"/>
        </w:rPr>
        <w:t>European</w:t>
      </w:r>
      <w:proofErr w:type="spellEnd"/>
      <w:r w:rsidRPr="002C42F7">
        <w:rPr>
          <w:rFonts w:ascii="Verdana" w:eastAsia="Calibri" w:hAnsi="Verdana" w:cs="Calibri"/>
          <w:sz w:val="22"/>
          <w:szCs w:val="22"/>
          <w:lang w:val="et-EE"/>
        </w:rPr>
        <w:t xml:space="preserve"> </w:t>
      </w:r>
      <w:proofErr w:type="spellStart"/>
      <w:r w:rsidRPr="002C42F7">
        <w:rPr>
          <w:rFonts w:ascii="Verdana" w:eastAsia="Calibri" w:hAnsi="Verdana" w:cs="Calibri"/>
          <w:sz w:val="22"/>
          <w:szCs w:val="22"/>
          <w:lang w:val="et-EE"/>
        </w:rPr>
        <w:t>Commission</w:t>
      </w:r>
      <w:proofErr w:type="spellEnd"/>
      <w:r w:rsidRPr="002C42F7">
        <w:rPr>
          <w:rFonts w:ascii="Verdana" w:eastAsia="Calibri" w:hAnsi="Verdana" w:cs="Calibri"/>
          <w:sz w:val="22"/>
          <w:szCs w:val="22"/>
          <w:lang w:val="et-EE"/>
        </w:rPr>
        <w:t xml:space="preserve">. (2021b). </w:t>
      </w:r>
      <w:proofErr w:type="spellStart"/>
      <w:r w:rsidRPr="002C42F7">
        <w:rPr>
          <w:rFonts w:ascii="Verdana" w:eastAsia="Calibri" w:hAnsi="Verdana" w:cs="Calibri"/>
          <w:i/>
          <w:iCs/>
          <w:sz w:val="22"/>
          <w:szCs w:val="22"/>
          <w:lang w:val="et-EE"/>
        </w:rPr>
        <w:t>Revision</w:t>
      </w:r>
      <w:proofErr w:type="spellEnd"/>
      <w:r w:rsidRPr="002C42F7">
        <w:rPr>
          <w:rFonts w:ascii="Verdana" w:eastAsia="Calibri" w:hAnsi="Verdana" w:cs="Calibri"/>
          <w:i/>
          <w:iCs/>
          <w:sz w:val="22"/>
          <w:szCs w:val="22"/>
          <w:lang w:val="et-EE"/>
        </w:rPr>
        <w:t xml:space="preserve"> of </w:t>
      </w:r>
      <w:proofErr w:type="spellStart"/>
      <w:r w:rsidRPr="002C42F7">
        <w:rPr>
          <w:rFonts w:ascii="Verdana" w:eastAsia="Calibri" w:hAnsi="Verdana" w:cs="Calibri"/>
          <w:i/>
          <w:iCs/>
          <w:sz w:val="22"/>
          <w:szCs w:val="22"/>
          <w:lang w:val="et-EE"/>
        </w:rPr>
        <w:t>the</w:t>
      </w:r>
      <w:proofErr w:type="spellEnd"/>
      <w:r w:rsidRPr="002C42F7">
        <w:rPr>
          <w:rFonts w:ascii="Verdana" w:eastAsia="Calibri" w:hAnsi="Verdana" w:cs="Calibri"/>
          <w:i/>
          <w:iCs/>
          <w:sz w:val="22"/>
          <w:szCs w:val="22"/>
          <w:lang w:val="et-EE"/>
        </w:rPr>
        <w:t xml:space="preserve"> </w:t>
      </w:r>
      <w:proofErr w:type="spellStart"/>
      <w:r w:rsidRPr="002C42F7">
        <w:rPr>
          <w:rFonts w:ascii="Verdana" w:eastAsia="Calibri" w:hAnsi="Verdana" w:cs="Calibri"/>
          <w:i/>
          <w:iCs/>
          <w:sz w:val="22"/>
          <w:szCs w:val="22"/>
          <w:lang w:val="et-EE"/>
        </w:rPr>
        <w:t>trans-European</w:t>
      </w:r>
      <w:proofErr w:type="spellEnd"/>
      <w:r w:rsidRPr="002C42F7">
        <w:rPr>
          <w:rFonts w:ascii="Verdana" w:eastAsia="Calibri" w:hAnsi="Verdana" w:cs="Calibri"/>
          <w:i/>
          <w:iCs/>
          <w:sz w:val="22"/>
          <w:szCs w:val="22"/>
          <w:lang w:val="et-EE"/>
        </w:rPr>
        <w:t xml:space="preserve"> transport </w:t>
      </w:r>
      <w:proofErr w:type="spellStart"/>
      <w:r w:rsidRPr="002C42F7">
        <w:rPr>
          <w:rFonts w:ascii="Verdana" w:eastAsia="Calibri" w:hAnsi="Verdana" w:cs="Calibri"/>
          <w:i/>
          <w:iCs/>
          <w:sz w:val="22"/>
          <w:szCs w:val="22"/>
          <w:lang w:val="et-EE"/>
        </w:rPr>
        <w:t>network</w:t>
      </w:r>
      <w:proofErr w:type="spellEnd"/>
      <w:r w:rsidRPr="002C42F7">
        <w:rPr>
          <w:rFonts w:ascii="Verdana" w:eastAsia="Calibri" w:hAnsi="Verdana" w:cs="Calibri"/>
          <w:i/>
          <w:iCs/>
          <w:sz w:val="22"/>
          <w:szCs w:val="22"/>
          <w:lang w:val="et-EE"/>
        </w:rPr>
        <w:t xml:space="preserve"> (TEN-T) </w:t>
      </w:r>
      <w:proofErr w:type="spellStart"/>
      <w:r w:rsidRPr="002C42F7">
        <w:rPr>
          <w:rFonts w:ascii="Verdana" w:eastAsia="Calibri" w:hAnsi="Verdana" w:cs="Calibri"/>
          <w:i/>
          <w:iCs/>
          <w:sz w:val="22"/>
          <w:szCs w:val="22"/>
          <w:lang w:val="et-EE"/>
        </w:rPr>
        <w:t>policy</w:t>
      </w:r>
      <w:proofErr w:type="spellEnd"/>
      <w:r w:rsidRPr="002C42F7">
        <w:rPr>
          <w:rFonts w:ascii="Verdana" w:eastAsia="Calibri" w:hAnsi="Verdana" w:cs="Calibri"/>
          <w:sz w:val="22"/>
          <w:szCs w:val="22"/>
          <w:lang w:val="et-EE"/>
        </w:rPr>
        <w:t xml:space="preserve">. </w:t>
      </w:r>
      <w:proofErr w:type="spellStart"/>
      <w:r w:rsidRPr="002C42F7">
        <w:rPr>
          <w:rFonts w:ascii="Verdana" w:eastAsia="Calibri" w:hAnsi="Verdana" w:cs="Calibri"/>
          <w:sz w:val="22"/>
          <w:szCs w:val="22"/>
          <w:lang w:val="et-EE"/>
        </w:rPr>
        <w:t>European</w:t>
      </w:r>
      <w:proofErr w:type="spellEnd"/>
      <w:r w:rsidRPr="002C42F7">
        <w:rPr>
          <w:rFonts w:ascii="Verdana" w:eastAsia="Calibri" w:hAnsi="Verdana" w:cs="Calibri"/>
          <w:sz w:val="22"/>
          <w:szCs w:val="22"/>
          <w:lang w:val="et-EE"/>
        </w:rPr>
        <w:t xml:space="preserve"> </w:t>
      </w:r>
      <w:proofErr w:type="spellStart"/>
      <w:r w:rsidRPr="002C42F7">
        <w:rPr>
          <w:rFonts w:ascii="Verdana" w:eastAsia="Calibri" w:hAnsi="Verdana" w:cs="Calibri"/>
          <w:sz w:val="22"/>
          <w:szCs w:val="22"/>
          <w:lang w:val="et-EE"/>
        </w:rPr>
        <w:t>Commission</w:t>
      </w:r>
      <w:proofErr w:type="spellEnd"/>
      <w:r w:rsidRPr="002C42F7">
        <w:rPr>
          <w:rFonts w:ascii="Verdana" w:eastAsia="Calibri" w:hAnsi="Verdana" w:cs="Calibri"/>
          <w:sz w:val="22"/>
          <w:szCs w:val="22"/>
          <w:lang w:val="et-EE"/>
        </w:rPr>
        <w:t xml:space="preserve">. </w:t>
      </w:r>
      <w:hyperlink r:id="rId8">
        <w:r w:rsidRPr="002C42F7">
          <w:rPr>
            <w:rStyle w:val="Hyperlink"/>
            <w:rFonts w:ascii="Verdana" w:eastAsia="Calibri" w:hAnsi="Verdana" w:cs="Calibri"/>
            <w:color w:val="auto"/>
            <w:sz w:val="22"/>
            <w:szCs w:val="22"/>
            <w:lang w:val="et-EE"/>
          </w:rPr>
          <w:t>https://transport.ec.europa.eu/transport-themes/infrastructure-and-investment/trans-european-transport-network-ten-t-policy_en</w:t>
        </w:r>
      </w:hyperlink>
    </w:p>
    <w:p w14:paraId="352B371E" w14:textId="77777777" w:rsidR="00815724" w:rsidRPr="002C42F7" w:rsidRDefault="00815724" w:rsidP="00DF6B0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proofErr w:type="spellStart"/>
      <w:r w:rsidRPr="002C42F7">
        <w:rPr>
          <w:rFonts w:ascii="Verdana" w:eastAsia="Calibri" w:hAnsi="Verdana" w:cs="Calibri"/>
          <w:sz w:val="22"/>
          <w:szCs w:val="22"/>
          <w:lang w:val="et-EE"/>
        </w:rPr>
        <w:t>Halldórsson</w:t>
      </w:r>
      <w:proofErr w:type="spellEnd"/>
      <w:r w:rsidRPr="002C42F7">
        <w:rPr>
          <w:rFonts w:ascii="Verdana" w:eastAsia="Calibri" w:hAnsi="Verdana" w:cs="Calibri"/>
          <w:sz w:val="22"/>
          <w:szCs w:val="22"/>
          <w:lang w:val="et-EE"/>
        </w:rPr>
        <w:t xml:space="preserve">, Á., </w:t>
      </w:r>
      <w:proofErr w:type="spellStart"/>
      <w:r w:rsidRPr="002C42F7">
        <w:rPr>
          <w:rFonts w:ascii="Verdana" w:eastAsia="Calibri" w:hAnsi="Verdana" w:cs="Calibri"/>
          <w:sz w:val="22"/>
          <w:szCs w:val="22"/>
          <w:lang w:val="et-EE"/>
        </w:rPr>
        <w:t>Kovács</w:t>
      </w:r>
      <w:proofErr w:type="spellEnd"/>
      <w:r w:rsidRPr="002C42F7">
        <w:rPr>
          <w:rFonts w:ascii="Verdana" w:eastAsia="Calibri" w:hAnsi="Verdana" w:cs="Calibri"/>
          <w:sz w:val="22"/>
          <w:szCs w:val="22"/>
          <w:lang w:val="et-EE"/>
        </w:rPr>
        <w:t xml:space="preserve">, G., &amp; </w:t>
      </w:r>
      <w:proofErr w:type="spellStart"/>
      <w:r w:rsidRPr="002C42F7">
        <w:rPr>
          <w:rFonts w:ascii="Verdana" w:eastAsia="Calibri" w:hAnsi="Verdana" w:cs="Calibri"/>
          <w:sz w:val="22"/>
          <w:szCs w:val="22"/>
          <w:lang w:val="et-EE"/>
        </w:rPr>
        <w:t>Seuring</w:t>
      </w:r>
      <w:proofErr w:type="spellEnd"/>
      <w:r w:rsidRPr="002C42F7">
        <w:rPr>
          <w:rFonts w:ascii="Verdana" w:eastAsia="Calibri" w:hAnsi="Verdana" w:cs="Calibri"/>
          <w:sz w:val="22"/>
          <w:szCs w:val="22"/>
          <w:lang w:val="et-EE"/>
        </w:rPr>
        <w:t xml:space="preserve">, S. (2019). </w:t>
      </w:r>
      <w:proofErr w:type="spellStart"/>
      <w:r w:rsidRPr="002C42F7">
        <w:rPr>
          <w:rFonts w:ascii="Verdana" w:eastAsia="Calibri" w:hAnsi="Verdana" w:cs="Calibri"/>
          <w:sz w:val="22"/>
          <w:szCs w:val="22"/>
          <w:lang w:val="et-EE"/>
        </w:rPr>
        <w:t>Sustainability</w:t>
      </w:r>
      <w:proofErr w:type="spellEnd"/>
      <w:r w:rsidRPr="002C42F7">
        <w:rPr>
          <w:rFonts w:ascii="Verdana" w:eastAsia="Calibri" w:hAnsi="Verdana" w:cs="Calibri"/>
          <w:sz w:val="22"/>
          <w:szCs w:val="22"/>
          <w:lang w:val="et-EE"/>
        </w:rPr>
        <w:t xml:space="preserve"> in </w:t>
      </w:r>
      <w:proofErr w:type="spellStart"/>
      <w:r w:rsidRPr="002C42F7">
        <w:rPr>
          <w:rFonts w:ascii="Verdana" w:eastAsia="Calibri" w:hAnsi="Verdana" w:cs="Calibri"/>
          <w:sz w:val="22"/>
          <w:szCs w:val="22"/>
          <w:lang w:val="et-EE"/>
        </w:rPr>
        <w:t>logistics</w:t>
      </w:r>
      <w:proofErr w:type="spellEnd"/>
      <w:r w:rsidRPr="002C42F7">
        <w:rPr>
          <w:rFonts w:ascii="Verdana" w:eastAsia="Calibri" w:hAnsi="Verdana" w:cs="Calibri"/>
          <w:sz w:val="22"/>
          <w:szCs w:val="22"/>
          <w:lang w:val="et-EE"/>
        </w:rPr>
        <w:t xml:space="preserve"> and </w:t>
      </w:r>
      <w:proofErr w:type="spellStart"/>
      <w:r w:rsidRPr="002C42F7">
        <w:rPr>
          <w:rFonts w:ascii="Verdana" w:eastAsia="Calibri" w:hAnsi="Verdana" w:cs="Calibri"/>
          <w:sz w:val="22"/>
          <w:szCs w:val="22"/>
          <w:lang w:val="et-EE"/>
        </w:rPr>
        <w:t>supply</w:t>
      </w:r>
      <w:proofErr w:type="spellEnd"/>
      <w:r w:rsidRPr="002C42F7">
        <w:rPr>
          <w:rFonts w:ascii="Verdana" w:eastAsia="Calibri" w:hAnsi="Verdana" w:cs="Calibri"/>
          <w:sz w:val="22"/>
          <w:szCs w:val="22"/>
          <w:lang w:val="et-EE"/>
        </w:rPr>
        <w:t xml:space="preserve"> </w:t>
      </w:r>
      <w:proofErr w:type="spellStart"/>
      <w:r w:rsidRPr="002C42F7">
        <w:rPr>
          <w:rFonts w:ascii="Verdana" w:eastAsia="Calibri" w:hAnsi="Verdana" w:cs="Calibri"/>
          <w:sz w:val="22"/>
          <w:szCs w:val="22"/>
          <w:lang w:val="et-EE"/>
        </w:rPr>
        <w:t>chain</w:t>
      </w:r>
      <w:proofErr w:type="spellEnd"/>
      <w:r w:rsidRPr="002C42F7">
        <w:rPr>
          <w:rFonts w:ascii="Verdana" w:eastAsia="Calibri" w:hAnsi="Verdana" w:cs="Calibri"/>
          <w:sz w:val="22"/>
          <w:szCs w:val="22"/>
          <w:lang w:val="et-EE"/>
        </w:rPr>
        <w:t xml:space="preserve"> </w:t>
      </w:r>
      <w:proofErr w:type="spellStart"/>
      <w:r w:rsidRPr="002C42F7">
        <w:rPr>
          <w:rFonts w:ascii="Verdana" w:eastAsia="Calibri" w:hAnsi="Verdana" w:cs="Calibri"/>
          <w:sz w:val="22"/>
          <w:szCs w:val="22"/>
          <w:lang w:val="et-EE"/>
        </w:rPr>
        <w:t>management</w:t>
      </w:r>
      <w:proofErr w:type="spellEnd"/>
      <w:r w:rsidRPr="002C42F7">
        <w:rPr>
          <w:rFonts w:ascii="Verdana" w:eastAsia="Calibri" w:hAnsi="Verdana" w:cs="Calibri"/>
          <w:sz w:val="22"/>
          <w:szCs w:val="22"/>
          <w:lang w:val="et-EE"/>
        </w:rPr>
        <w:t xml:space="preserve">: New </w:t>
      </w:r>
      <w:proofErr w:type="spellStart"/>
      <w:r w:rsidRPr="002C42F7">
        <w:rPr>
          <w:rFonts w:ascii="Verdana" w:eastAsia="Calibri" w:hAnsi="Verdana" w:cs="Calibri"/>
          <w:sz w:val="22"/>
          <w:szCs w:val="22"/>
          <w:lang w:val="et-EE"/>
        </w:rPr>
        <w:t>directions</w:t>
      </w:r>
      <w:proofErr w:type="spellEnd"/>
      <w:r w:rsidRPr="002C42F7">
        <w:rPr>
          <w:rFonts w:ascii="Verdana" w:eastAsia="Calibri" w:hAnsi="Verdana" w:cs="Calibri"/>
          <w:sz w:val="22"/>
          <w:szCs w:val="22"/>
          <w:lang w:val="et-EE"/>
        </w:rPr>
        <w:t xml:space="preserve">. </w:t>
      </w:r>
      <w:r w:rsidRPr="002C42F7">
        <w:rPr>
          <w:rFonts w:ascii="Verdana" w:eastAsia="Calibri" w:hAnsi="Verdana" w:cs="Calibri"/>
          <w:i/>
          <w:iCs/>
          <w:sz w:val="22"/>
          <w:szCs w:val="22"/>
          <w:lang w:val="et-EE"/>
        </w:rPr>
        <w:t xml:space="preserve">International </w:t>
      </w:r>
      <w:proofErr w:type="spellStart"/>
      <w:r w:rsidRPr="002C42F7">
        <w:rPr>
          <w:rFonts w:ascii="Verdana" w:eastAsia="Calibri" w:hAnsi="Verdana" w:cs="Calibri"/>
          <w:i/>
          <w:iCs/>
          <w:sz w:val="22"/>
          <w:szCs w:val="22"/>
          <w:lang w:val="et-EE"/>
        </w:rPr>
        <w:t>Journal</w:t>
      </w:r>
      <w:proofErr w:type="spellEnd"/>
      <w:r w:rsidRPr="002C42F7">
        <w:rPr>
          <w:rFonts w:ascii="Verdana" w:eastAsia="Calibri" w:hAnsi="Verdana" w:cs="Calibri"/>
          <w:i/>
          <w:iCs/>
          <w:sz w:val="22"/>
          <w:szCs w:val="22"/>
          <w:lang w:val="et-EE"/>
        </w:rPr>
        <w:t xml:space="preserve"> of </w:t>
      </w:r>
      <w:proofErr w:type="spellStart"/>
      <w:r w:rsidRPr="002C42F7">
        <w:rPr>
          <w:rFonts w:ascii="Verdana" w:eastAsia="Calibri" w:hAnsi="Verdana" w:cs="Calibri"/>
          <w:i/>
          <w:iCs/>
          <w:sz w:val="22"/>
          <w:szCs w:val="22"/>
          <w:lang w:val="et-EE"/>
        </w:rPr>
        <w:t>Physical</w:t>
      </w:r>
      <w:proofErr w:type="spellEnd"/>
      <w:r w:rsidRPr="002C42F7">
        <w:rPr>
          <w:rFonts w:ascii="Verdana" w:eastAsia="Calibri" w:hAnsi="Verdana" w:cs="Calibri"/>
          <w:i/>
          <w:iCs/>
          <w:sz w:val="22"/>
          <w:szCs w:val="22"/>
          <w:lang w:val="et-EE"/>
        </w:rPr>
        <w:t xml:space="preserve"> Distribution &amp; Logistics Management, 49</w:t>
      </w:r>
      <w:r w:rsidRPr="002C42F7">
        <w:rPr>
          <w:rFonts w:ascii="Verdana" w:eastAsia="Calibri" w:hAnsi="Verdana" w:cs="Calibri"/>
          <w:sz w:val="22"/>
          <w:szCs w:val="22"/>
          <w:lang w:val="et-EE"/>
        </w:rPr>
        <w:t xml:space="preserve">(5), 395–399. </w:t>
      </w:r>
      <w:hyperlink r:id="rId9">
        <w:r w:rsidRPr="002C42F7">
          <w:rPr>
            <w:rStyle w:val="Hyperlink"/>
            <w:rFonts w:ascii="Verdana" w:eastAsia="Calibri" w:hAnsi="Verdana" w:cs="Calibri"/>
            <w:color w:val="auto"/>
            <w:sz w:val="22"/>
            <w:szCs w:val="22"/>
            <w:lang w:val="et-EE"/>
          </w:rPr>
          <w:t>https://doi.org/10.1108/IJPDLM-05-2019-379</w:t>
        </w:r>
      </w:hyperlink>
    </w:p>
    <w:p w14:paraId="55EE3C82" w14:textId="77777777" w:rsidR="00815724" w:rsidRPr="002C42F7" w:rsidRDefault="00815724" w:rsidP="00DF6B0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  <w:r w:rsidRPr="002C42F7">
        <w:rPr>
          <w:rFonts w:ascii="Verdana" w:eastAsia="Calibri" w:hAnsi="Verdana" w:cs="Calibri"/>
          <w:sz w:val="22"/>
          <w:szCs w:val="22"/>
          <w:lang w:val="et-EE"/>
        </w:rPr>
        <w:t xml:space="preserve">OECD. (2022). </w:t>
      </w:r>
      <w:proofErr w:type="spellStart"/>
      <w:r w:rsidRPr="002C42F7">
        <w:rPr>
          <w:rFonts w:ascii="Verdana" w:eastAsia="Calibri" w:hAnsi="Verdana" w:cs="Calibri"/>
          <w:i/>
          <w:iCs/>
          <w:sz w:val="22"/>
          <w:szCs w:val="22"/>
          <w:lang w:val="et-EE"/>
        </w:rPr>
        <w:t>Decarbonising</w:t>
      </w:r>
      <w:proofErr w:type="spellEnd"/>
      <w:r w:rsidRPr="002C42F7">
        <w:rPr>
          <w:rFonts w:ascii="Verdana" w:eastAsia="Calibri" w:hAnsi="Verdana" w:cs="Calibri"/>
          <w:i/>
          <w:iCs/>
          <w:sz w:val="22"/>
          <w:szCs w:val="22"/>
          <w:lang w:val="et-EE"/>
        </w:rPr>
        <w:t xml:space="preserve"> transport: </w:t>
      </w:r>
      <w:proofErr w:type="spellStart"/>
      <w:r w:rsidRPr="002C42F7">
        <w:rPr>
          <w:rFonts w:ascii="Verdana" w:eastAsia="Calibri" w:hAnsi="Verdana" w:cs="Calibri"/>
          <w:i/>
          <w:iCs/>
          <w:sz w:val="22"/>
          <w:szCs w:val="22"/>
          <w:lang w:val="et-EE"/>
        </w:rPr>
        <w:t>Towards</w:t>
      </w:r>
      <w:proofErr w:type="spellEnd"/>
      <w:r w:rsidRPr="002C42F7">
        <w:rPr>
          <w:rFonts w:ascii="Verdana" w:eastAsia="Calibri" w:hAnsi="Verdana" w:cs="Calibri"/>
          <w:i/>
          <w:iCs/>
          <w:sz w:val="22"/>
          <w:szCs w:val="22"/>
          <w:lang w:val="et-EE"/>
        </w:rPr>
        <w:t xml:space="preserve"> a </w:t>
      </w:r>
      <w:proofErr w:type="spellStart"/>
      <w:r w:rsidRPr="002C42F7">
        <w:rPr>
          <w:rFonts w:ascii="Verdana" w:eastAsia="Calibri" w:hAnsi="Verdana" w:cs="Calibri"/>
          <w:i/>
          <w:iCs/>
          <w:sz w:val="22"/>
          <w:szCs w:val="22"/>
          <w:lang w:val="et-EE"/>
        </w:rPr>
        <w:t>systemic</w:t>
      </w:r>
      <w:proofErr w:type="spellEnd"/>
      <w:r w:rsidRPr="002C42F7">
        <w:rPr>
          <w:rFonts w:ascii="Verdana" w:eastAsia="Calibri" w:hAnsi="Verdana" w:cs="Calibri"/>
          <w:i/>
          <w:iCs/>
          <w:sz w:val="22"/>
          <w:szCs w:val="22"/>
          <w:lang w:val="et-EE"/>
        </w:rPr>
        <w:t xml:space="preserve"> </w:t>
      </w:r>
      <w:proofErr w:type="spellStart"/>
      <w:r w:rsidRPr="002C42F7">
        <w:rPr>
          <w:rFonts w:ascii="Verdana" w:eastAsia="Calibri" w:hAnsi="Verdana" w:cs="Calibri"/>
          <w:i/>
          <w:iCs/>
          <w:sz w:val="22"/>
          <w:szCs w:val="22"/>
          <w:lang w:val="et-EE"/>
        </w:rPr>
        <w:t>approach</w:t>
      </w:r>
      <w:proofErr w:type="spellEnd"/>
      <w:r w:rsidRPr="002C42F7">
        <w:rPr>
          <w:rFonts w:ascii="Verdana" w:eastAsia="Calibri" w:hAnsi="Verdana" w:cs="Calibri"/>
          <w:sz w:val="22"/>
          <w:szCs w:val="22"/>
          <w:lang w:val="et-EE"/>
        </w:rPr>
        <w:t xml:space="preserve">. OECD Publishing. </w:t>
      </w:r>
      <w:hyperlink r:id="rId10">
        <w:r w:rsidRPr="002C42F7">
          <w:rPr>
            <w:rStyle w:val="Hyperlink"/>
            <w:rFonts w:ascii="Verdana" w:eastAsia="Calibri" w:hAnsi="Verdana" w:cs="Calibri"/>
            <w:color w:val="auto"/>
            <w:sz w:val="22"/>
            <w:szCs w:val="22"/>
            <w:lang w:val="et-EE"/>
          </w:rPr>
          <w:t>https://doi.org/10.1787/48d02880-en</w:t>
        </w:r>
      </w:hyperlink>
    </w:p>
    <w:p w14:paraId="7359A4A1" w14:textId="77777777" w:rsidR="00815724" w:rsidRPr="002C42F7" w:rsidRDefault="00815724" w:rsidP="00DF6B0F">
      <w:pPr>
        <w:spacing w:after="0" w:line="240" w:lineRule="auto"/>
        <w:jc w:val="both"/>
        <w:rPr>
          <w:rFonts w:ascii="Verdana" w:eastAsia="Calibri" w:hAnsi="Verdana" w:cs="Calibri"/>
          <w:sz w:val="22"/>
          <w:szCs w:val="22"/>
          <w:lang w:val="et-EE"/>
        </w:rPr>
      </w:pPr>
    </w:p>
    <w:sectPr w:rsidR="00815724" w:rsidRPr="002C42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923B8" w14:textId="77777777" w:rsidR="00212BF8" w:rsidRDefault="00212BF8" w:rsidP="00212BF8">
      <w:pPr>
        <w:spacing w:after="0" w:line="240" w:lineRule="auto"/>
      </w:pPr>
      <w:r>
        <w:separator/>
      </w:r>
    </w:p>
  </w:endnote>
  <w:endnote w:type="continuationSeparator" w:id="0">
    <w:p w14:paraId="681F5C6C" w14:textId="77777777" w:rsidR="00212BF8" w:rsidRDefault="00212BF8" w:rsidP="00212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9278D" w14:textId="77777777" w:rsidR="00212BF8" w:rsidRDefault="00212B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6840382"/>
      <w:docPartObj>
        <w:docPartGallery w:val="Page Numbers (Bottom of Page)"/>
        <w:docPartUnique/>
      </w:docPartObj>
    </w:sdtPr>
    <w:sdtEndPr/>
    <w:sdtContent>
      <w:p w14:paraId="289BC6C1" w14:textId="7D46D836" w:rsidR="00212BF8" w:rsidRDefault="00212BF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t-EE"/>
          </w:rPr>
          <w:t>2</w:t>
        </w:r>
        <w:r>
          <w:fldChar w:fldCharType="end"/>
        </w:r>
      </w:p>
    </w:sdtContent>
  </w:sdt>
  <w:p w14:paraId="09327FCC" w14:textId="77777777" w:rsidR="00212BF8" w:rsidRDefault="00212B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971B2" w14:textId="77777777" w:rsidR="00212BF8" w:rsidRDefault="00212B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7079D" w14:textId="77777777" w:rsidR="00212BF8" w:rsidRDefault="00212BF8" w:rsidP="00212BF8">
      <w:pPr>
        <w:spacing w:after="0" w:line="240" w:lineRule="auto"/>
      </w:pPr>
      <w:r>
        <w:separator/>
      </w:r>
    </w:p>
  </w:footnote>
  <w:footnote w:type="continuationSeparator" w:id="0">
    <w:p w14:paraId="472F80BC" w14:textId="77777777" w:rsidR="00212BF8" w:rsidRDefault="00212BF8" w:rsidP="00212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B7439" w14:textId="77777777" w:rsidR="00212BF8" w:rsidRDefault="00212B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273C2" w14:textId="77777777" w:rsidR="00212BF8" w:rsidRDefault="00212B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342D6" w14:textId="77777777" w:rsidR="00212BF8" w:rsidRDefault="00212B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735"/>
    <w:multiLevelType w:val="multilevel"/>
    <w:tmpl w:val="6472F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3726E"/>
    <w:multiLevelType w:val="multilevel"/>
    <w:tmpl w:val="56E89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88155E"/>
    <w:multiLevelType w:val="hybridMultilevel"/>
    <w:tmpl w:val="BF803E7A"/>
    <w:lvl w:ilvl="0" w:tplc="34EC8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5A84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3281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BE2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3A3D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C2D5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F69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E2A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0053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04DBE"/>
    <w:multiLevelType w:val="multilevel"/>
    <w:tmpl w:val="6180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02111B"/>
    <w:multiLevelType w:val="multilevel"/>
    <w:tmpl w:val="DAFE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AD398E"/>
    <w:multiLevelType w:val="multilevel"/>
    <w:tmpl w:val="537E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D35EB8"/>
    <w:multiLevelType w:val="multilevel"/>
    <w:tmpl w:val="14B6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391BEA"/>
    <w:multiLevelType w:val="multilevel"/>
    <w:tmpl w:val="2380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2C5ACA"/>
    <w:multiLevelType w:val="multilevel"/>
    <w:tmpl w:val="1CD0E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610F08"/>
    <w:multiLevelType w:val="multilevel"/>
    <w:tmpl w:val="AEFC8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6D1578"/>
    <w:multiLevelType w:val="hybridMultilevel"/>
    <w:tmpl w:val="0A0CEC5E"/>
    <w:lvl w:ilvl="0" w:tplc="97D6584E">
      <w:start w:val="1"/>
      <w:numFmt w:val="decimal"/>
      <w:lvlText w:val="%1."/>
      <w:lvlJc w:val="left"/>
      <w:pPr>
        <w:ind w:left="720" w:hanging="360"/>
      </w:pPr>
    </w:lvl>
    <w:lvl w:ilvl="1" w:tplc="1F14859E">
      <w:start w:val="1"/>
      <w:numFmt w:val="lowerLetter"/>
      <w:lvlText w:val="%2."/>
      <w:lvlJc w:val="left"/>
      <w:pPr>
        <w:ind w:left="1440" w:hanging="360"/>
      </w:pPr>
    </w:lvl>
    <w:lvl w:ilvl="2" w:tplc="8564E3B4">
      <w:start w:val="1"/>
      <w:numFmt w:val="lowerRoman"/>
      <w:lvlText w:val="%3."/>
      <w:lvlJc w:val="right"/>
      <w:pPr>
        <w:ind w:left="2160" w:hanging="180"/>
      </w:pPr>
    </w:lvl>
    <w:lvl w:ilvl="3" w:tplc="35B0F9A8">
      <w:start w:val="1"/>
      <w:numFmt w:val="decimal"/>
      <w:lvlText w:val="%4."/>
      <w:lvlJc w:val="left"/>
      <w:pPr>
        <w:ind w:left="2880" w:hanging="360"/>
      </w:pPr>
    </w:lvl>
    <w:lvl w:ilvl="4" w:tplc="338A9EBC">
      <w:start w:val="1"/>
      <w:numFmt w:val="lowerLetter"/>
      <w:lvlText w:val="%5."/>
      <w:lvlJc w:val="left"/>
      <w:pPr>
        <w:ind w:left="3600" w:hanging="360"/>
      </w:pPr>
    </w:lvl>
    <w:lvl w:ilvl="5" w:tplc="101A2438">
      <w:start w:val="1"/>
      <w:numFmt w:val="lowerRoman"/>
      <w:lvlText w:val="%6."/>
      <w:lvlJc w:val="right"/>
      <w:pPr>
        <w:ind w:left="4320" w:hanging="180"/>
      </w:pPr>
    </w:lvl>
    <w:lvl w:ilvl="6" w:tplc="C3C4BA06">
      <w:start w:val="1"/>
      <w:numFmt w:val="decimal"/>
      <w:lvlText w:val="%7."/>
      <w:lvlJc w:val="left"/>
      <w:pPr>
        <w:ind w:left="5040" w:hanging="360"/>
      </w:pPr>
    </w:lvl>
    <w:lvl w:ilvl="7" w:tplc="2138D6CC">
      <w:start w:val="1"/>
      <w:numFmt w:val="lowerLetter"/>
      <w:lvlText w:val="%8."/>
      <w:lvlJc w:val="left"/>
      <w:pPr>
        <w:ind w:left="5760" w:hanging="360"/>
      </w:pPr>
    </w:lvl>
    <w:lvl w:ilvl="8" w:tplc="D096BAD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2CD27E"/>
    <w:multiLevelType w:val="hybridMultilevel"/>
    <w:tmpl w:val="8EEEDB88"/>
    <w:lvl w:ilvl="0" w:tplc="7BEC8A04">
      <w:start w:val="1"/>
      <w:numFmt w:val="decimal"/>
      <w:lvlText w:val="%1."/>
      <w:lvlJc w:val="left"/>
      <w:pPr>
        <w:ind w:left="720" w:hanging="360"/>
      </w:pPr>
    </w:lvl>
    <w:lvl w:ilvl="1" w:tplc="579C937C">
      <w:start w:val="1"/>
      <w:numFmt w:val="lowerLetter"/>
      <w:lvlText w:val="%2."/>
      <w:lvlJc w:val="left"/>
      <w:pPr>
        <w:ind w:left="1440" w:hanging="360"/>
      </w:pPr>
    </w:lvl>
    <w:lvl w:ilvl="2" w:tplc="7458F1A6">
      <w:start w:val="1"/>
      <w:numFmt w:val="lowerRoman"/>
      <w:lvlText w:val="%3."/>
      <w:lvlJc w:val="right"/>
      <w:pPr>
        <w:ind w:left="2160" w:hanging="180"/>
      </w:pPr>
    </w:lvl>
    <w:lvl w:ilvl="3" w:tplc="2D74054E">
      <w:start w:val="1"/>
      <w:numFmt w:val="decimal"/>
      <w:lvlText w:val="%4."/>
      <w:lvlJc w:val="left"/>
      <w:pPr>
        <w:ind w:left="2880" w:hanging="360"/>
      </w:pPr>
    </w:lvl>
    <w:lvl w:ilvl="4" w:tplc="D9F29A3C">
      <w:start w:val="1"/>
      <w:numFmt w:val="lowerLetter"/>
      <w:lvlText w:val="%5."/>
      <w:lvlJc w:val="left"/>
      <w:pPr>
        <w:ind w:left="3600" w:hanging="360"/>
      </w:pPr>
    </w:lvl>
    <w:lvl w:ilvl="5" w:tplc="8B801FC4">
      <w:start w:val="1"/>
      <w:numFmt w:val="lowerRoman"/>
      <w:lvlText w:val="%6."/>
      <w:lvlJc w:val="right"/>
      <w:pPr>
        <w:ind w:left="4320" w:hanging="180"/>
      </w:pPr>
    </w:lvl>
    <w:lvl w:ilvl="6" w:tplc="E6E6B03A">
      <w:start w:val="1"/>
      <w:numFmt w:val="decimal"/>
      <w:lvlText w:val="%7."/>
      <w:lvlJc w:val="left"/>
      <w:pPr>
        <w:ind w:left="5040" w:hanging="360"/>
      </w:pPr>
    </w:lvl>
    <w:lvl w:ilvl="7" w:tplc="2A1E473A">
      <w:start w:val="1"/>
      <w:numFmt w:val="lowerLetter"/>
      <w:lvlText w:val="%8."/>
      <w:lvlJc w:val="left"/>
      <w:pPr>
        <w:ind w:left="5760" w:hanging="360"/>
      </w:pPr>
    </w:lvl>
    <w:lvl w:ilvl="8" w:tplc="F86CE99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41447"/>
    <w:multiLevelType w:val="multilevel"/>
    <w:tmpl w:val="1C14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693E09"/>
    <w:multiLevelType w:val="hybridMultilevel"/>
    <w:tmpl w:val="DA9659EE"/>
    <w:lvl w:ilvl="0" w:tplc="6A06D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4E67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E49D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524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AA56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14F8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827E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C4A8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0EAB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0666F"/>
    <w:multiLevelType w:val="multilevel"/>
    <w:tmpl w:val="1270D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983D7C"/>
    <w:multiLevelType w:val="multilevel"/>
    <w:tmpl w:val="1CD0E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B76518"/>
    <w:multiLevelType w:val="multilevel"/>
    <w:tmpl w:val="4F50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2759975">
    <w:abstractNumId w:val="10"/>
  </w:num>
  <w:num w:numId="2" w16cid:durableId="442648672">
    <w:abstractNumId w:val="13"/>
  </w:num>
  <w:num w:numId="3" w16cid:durableId="1808625565">
    <w:abstractNumId w:val="2"/>
  </w:num>
  <w:num w:numId="4" w16cid:durableId="361250969">
    <w:abstractNumId w:val="11"/>
  </w:num>
  <w:num w:numId="5" w16cid:durableId="512108949">
    <w:abstractNumId w:val="5"/>
  </w:num>
  <w:num w:numId="6" w16cid:durableId="134758450">
    <w:abstractNumId w:val="0"/>
  </w:num>
  <w:num w:numId="7" w16cid:durableId="2040470280">
    <w:abstractNumId w:val="14"/>
  </w:num>
  <w:num w:numId="8" w16cid:durableId="282729603">
    <w:abstractNumId w:val="6"/>
  </w:num>
  <w:num w:numId="9" w16cid:durableId="862674094">
    <w:abstractNumId w:val="9"/>
  </w:num>
  <w:num w:numId="10" w16cid:durableId="526528528">
    <w:abstractNumId w:val="8"/>
  </w:num>
  <w:num w:numId="11" w16cid:durableId="291711291">
    <w:abstractNumId w:val="16"/>
  </w:num>
  <w:num w:numId="12" w16cid:durableId="628630968">
    <w:abstractNumId w:val="3"/>
  </w:num>
  <w:num w:numId="13" w16cid:durableId="326595981">
    <w:abstractNumId w:val="4"/>
  </w:num>
  <w:num w:numId="14" w16cid:durableId="669403731">
    <w:abstractNumId w:val="7"/>
  </w:num>
  <w:num w:numId="15" w16cid:durableId="1486312606">
    <w:abstractNumId w:val="1"/>
  </w:num>
  <w:num w:numId="16" w16cid:durableId="1672636567">
    <w:abstractNumId w:val="12"/>
  </w:num>
  <w:num w:numId="17" w16cid:durableId="21174846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6EB8A9"/>
    <w:rsid w:val="00080574"/>
    <w:rsid w:val="00212BF8"/>
    <w:rsid w:val="002C42F7"/>
    <w:rsid w:val="005835B3"/>
    <w:rsid w:val="00601995"/>
    <w:rsid w:val="007D769F"/>
    <w:rsid w:val="00804526"/>
    <w:rsid w:val="00815724"/>
    <w:rsid w:val="00835BAC"/>
    <w:rsid w:val="008A162A"/>
    <w:rsid w:val="009322F8"/>
    <w:rsid w:val="00C36BAE"/>
    <w:rsid w:val="00DF6B0F"/>
    <w:rsid w:val="00F9013A"/>
    <w:rsid w:val="0F917B30"/>
    <w:rsid w:val="126EB8A9"/>
    <w:rsid w:val="359637A8"/>
    <w:rsid w:val="410E8451"/>
    <w:rsid w:val="428D170F"/>
    <w:rsid w:val="5A76076C"/>
    <w:rsid w:val="614868BE"/>
    <w:rsid w:val="6C4F8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EB8A9"/>
  <w15:chartTrackingRefBased/>
  <w15:docId w15:val="{096783DA-4125-4B44-A225-64DC1DAA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28D17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28D170F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2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BF8"/>
  </w:style>
  <w:style w:type="paragraph" w:styleId="Footer">
    <w:name w:val="footer"/>
    <w:basedOn w:val="Normal"/>
    <w:link w:val="FooterChar"/>
    <w:uiPriority w:val="99"/>
    <w:unhideWhenUsed/>
    <w:rsid w:val="00212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port.ec.europa.eu/transport-themes/infrastructure-and-investment/trans-european-transport-network-ten-t-policy_e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EN/TXT/?uri=CELEX:52019DC0640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doi.org/10.1787/48d02880-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08/IJPDLM-05-2019-379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986</Words>
  <Characters>5721</Characters>
  <Application>Microsoft Office Word</Application>
  <DocSecurity>0</DocSecurity>
  <Lines>47</Lines>
  <Paragraphs>13</Paragraphs>
  <ScaleCrop>false</ScaleCrop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Jelizaveta Janno</dc:creator>
  <cp:keywords/>
  <dc:description/>
  <cp:lastModifiedBy>Jelizaveta Janno</cp:lastModifiedBy>
  <cp:revision>13</cp:revision>
  <dcterms:created xsi:type="dcterms:W3CDTF">2025-09-28T17:51:00Z</dcterms:created>
  <dcterms:modified xsi:type="dcterms:W3CDTF">2026-01-18T18:28:00Z</dcterms:modified>
</cp:coreProperties>
</file>